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44AE19">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武胜县城东片区城市公园生态修复项目</w:t>
      </w:r>
    </w:p>
    <w:p w14:paraId="3342270E">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情况说明</w:t>
      </w:r>
    </w:p>
    <w:p w14:paraId="3B81B385">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sz w:val="44"/>
          <w:szCs w:val="44"/>
          <w:lang w:val="en-US" w:eastAsia="zh-CN"/>
        </w:rPr>
      </w:pPr>
    </w:p>
    <w:p w14:paraId="783F7D93">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sz w:val="44"/>
          <w:szCs w:val="44"/>
          <w:lang w:val="en-US" w:eastAsia="zh-CN"/>
        </w:rPr>
      </w:pPr>
    </w:p>
    <w:p w14:paraId="215CB10A">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sz w:val="44"/>
          <w:szCs w:val="44"/>
          <w:lang w:val="en-US" w:eastAsia="zh-CN"/>
        </w:rPr>
      </w:pPr>
    </w:p>
    <w:p w14:paraId="25A8ED3A">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sz w:val="44"/>
          <w:szCs w:val="44"/>
          <w:lang w:val="en-US" w:eastAsia="zh-CN"/>
        </w:rPr>
      </w:pPr>
    </w:p>
    <w:p w14:paraId="00015D41">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sz w:val="44"/>
          <w:szCs w:val="44"/>
          <w:lang w:val="en-US" w:eastAsia="zh-CN"/>
        </w:rPr>
      </w:pPr>
    </w:p>
    <w:p w14:paraId="2AE430CC">
      <w:pPr>
        <w:keepNext w:val="0"/>
        <w:keepLines w:val="0"/>
        <w:pageBreakBefore w:val="0"/>
        <w:widowControl w:val="0"/>
        <w:kinsoku/>
        <w:wordWrap/>
        <w:overflowPunct/>
        <w:topLinePunct w:val="0"/>
        <w:autoSpaceDE/>
        <w:autoSpaceDN/>
        <w:bidi w:val="0"/>
        <w:adjustRightInd/>
        <w:snapToGrid/>
        <w:spacing w:before="327" w:beforeLines="100" w:after="327" w:afterLines="100" w:line="480" w:lineRule="auto"/>
        <w:jc w:val="center"/>
        <w:textAlignment w:val="auto"/>
        <w:rPr>
          <w:rFonts w:hint="eastAsia" w:ascii="仿宋" w:hAnsi="仿宋" w:eastAsia="仿宋" w:cs="仿宋"/>
          <w:sz w:val="44"/>
          <w:szCs w:val="44"/>
          <w:lang w:val="en-US" w:eastAsia="zh-CN"/>
        </w:rPr>
      </w:pPr>
    </w:p>
    <w:p w14:paraId="4BA5DF07">
      <w:pPr>
        <w:spacing w:before="156" w:after="156"/>
        <w:ind w:firstLine="1405" w:firstLineChars="5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财政部门：</w:t>
      </w:r>
      <w:r>
        <w:rPr>
          <w:rFonts w:hint="eastAsia" w:ascii="仿宋" w:hAnsi="仿宋" w:eastAsia="仿宋" w:cs="仿宋"/>
          <w:b/>
          <w:bCs/>
          <w:color w:val="auto"/>
          <w:sz w:val="28"/>
          <w:szCs w:val="28"/>
          <w:highlight w:val="none"/>
          <w:lang w:val="en-US" w:eastAsia="zh-CN"/>
        </w:rPr>
        <w:t>武胜县</w:t>
      </w:r>
      <w:r>
        <w:rPr>
          <w:rFonts w:hint="eastAsia" w:ascii="仿宋" w:hAnsi="仿宋" w:eastAsia="仿宋" w:cs="仿宋"/>
          <w:b/>
          <w:bCs/>
          <w:color w:val="auto"/>
          <w:sz w:val="28"/>
          <w:szCs w:val="28"/>
          <w:highlight w:val="none"/>
        </w:rPr>
        <w:t>财政局</w:t>
      </w:r>
    </w:p>
    <w:p w14:paraId="3569F06D">
      <w:pPr>
        <w:pStyle w:val="9"/>
        <w:spacing w:before="156" w:after="156"/>
        <w:ind w:firstLine="1405" w:firstLineChars="500"/>
        <w:rPr>
          <w:rFonts w:hint="eastAsia" w:ascii="仿宋" w:hAnsi="仿宋" w:eastAsia="仿宋" w:cs="仿宋"/>
          <w:b/>
          <w:bCs/>
          <w:color w:val="auto"/>
          <w:sz w:val="20"/>
          <w:szCs w:val="18"/>
          <w:highlight w:val="none"/>
          <w:lang w:val="en-US" w:eastAsia="zh-CN"/>
        </w:rPr>
      </w:pPr>
      <w:r>
        <w:rPr>
          <w:rFonts w:hint="eastAsia" w:ascii="仿宋" w:hAnsi="仿宋" w:eastAsia="仿宋" w:cs="仿宋"/>
          <w:b/>
          <w:bCs/>
          <w:color w:val="auto"/>
          <w:sz w:val="28"/>
          <w:szCs w:val="28"/>
          <w:highlight w:val="none"/>
        </w:rPr>
        <w:t>发改部门：</w:t>
      </w:r>
      <w:r>
        <w:rPr>
          <w:rFonts w:hint="eastAsia" w:ascii="仿宋" w:hAnsi="仿宋" w:eastAsia="仿宋" w:cs="仿宋"/>
          <w:b/>
          <w:bCs/>
          <w:color w:val="auto"/>
          <w:sz w:val="28"/>
          <w:szCs w:val="28"/>
          <w:highlight w:val="none"/>
          <w:lang w:val="en-US" w:eastAsia="zh-CN"/>
        </w:rPr>
        <w:t>武胜县发展和改革局</w:t>
      </w:r>
    </w:p>
    <w:p w14:paraId="3C9A6F6D">
      <w:pPr>
        <w:spacing w:before="156" w:after="156"/>
        <w:ind w:firstLine="1405" w:firstLineChars="500"/>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rPr>
        <w:t>主管部门：</w:t>
      </w:r>
      <w:r>
        <w:rPr>
          <w:rFonts w:hint="eastAsia" w:ascii="仿宋" w:hAnsi="仿宋" w:eastAsia="仿宋" w:cs="仿宋"/>
          <w:b/>
          <w:bCs/>
          <w:color w:val="auto"/>
          <w:sz w:val="28"/>
          <w:szCs w:val="28"/>
          <w:highlight w:val="none"/>
          <w:lang w:val="en-US" w:eastAsia="zh-CN"/>
        </w:rPr>
        <w:t>武胜县住房和城乡建设局</w:t>
      </w:r>
    </w:p>
    <w:p w14:paraId="2DD12137">
      <w:pPr>
        <w:numPr>
          <w:ilvl w:val="0"/>
          <w:numId w:val="0"/>
        </w:numPr>
        <w:spacing w:beforeLines="50" w:afterLines="50" w:line="360" w:lineRule="auto"/>
        <w:ind w:firstLine="1405" w:firstLineChars="500"/>
        <w:jc w:val="both"/>
        <w:outlineLvl w:val="0"/>
        <w:rPr>
          <w:rFonts w:hint="eastAsia" w:ascii="仿宋" w:hAnsi="仿宋" w:eastAsia="仿宋" w:cs="仿宋"/>
          <w:b/>
          <w:bCs/>
          <w:color w:val="auto"/>
          <w:sz w:val="28"/>
          <w:szCs w:val="28"/>
          <w:highlight w:val="none"/>
          <w:lang w:val="en-US" w:eastAsia="zh-CN"/>
        </w:rPr>
        <w:sectPr>
          <w:headerReference r:id="rId3" w:type="default"/>
          <w:footerReference r:id="rId4" w:type="default"/>
          <w:pgSz w:w="11906" w:h="16838"/>
          <w:pgMar w:top="1440" w:right="1800" w:bottom="1440" w:left="1800" w:header="851" w:footer="992" w:gutter="0"/>
          <w:pgNumType w:fmt="decimal"/>
          <w:cols w:space="425" w:num="1"/>
          <w:docGrid w:type="lines" w:linePitch="326" w:charSpace="0"/>
        </w:sectPr>
      </w:pPr>
      <w:r>
        <w:rPr>
          <w:rFonts w:hint="eastAsia" w:ascii="仿宋" w:hAnsi="仿宋" w:eastAsia="仿宋" w:cs="仿宋"/>
          <w:b/>
          <w:bCs/>
          <w:color w:val="auto"/>
          <w:sz w:val="28"/>
          <w:szCs w:val="28"/>
          <w:highlight w:val="none"/>
        </w:rPr>
        <w:t>业主单位：</w:t>
      </w:r>
      <w:r>
        <w:rPr>
          <w:rFonts w:hint="eastAsia" w:ascii="仿宋" w:hAnsi="仿宋" w:eastAsia="仿宋" w:cs="仿宋"/>
          <w:b/>
          <w:bCs/>
          <w:color w:val="auto"/>
          <w:sz w:val="28"/>
          <w:szCs w:val="28"/>
          <w:highlight w:val="none"/>
          <w:lang w:val="en-US" w:eastAsia="zh-CN"/>
        </w:rPr>
        <w:t>武胜县住房和城乡建设局</w:t>
      </w:r>
      <w:bookmarkStart w:id="0" w:name="_Toc29970"/>
    </w:p>
    <w:p w14:paraId="45675231">
      <w:pPr>
        <w:numPr>
          <w:ilvl w:val="0"/>
          <w:numId w:val="0"/>
        </w:numPr>
        <w:spacing w:beforeLines="50" w:afterLines="50" w:line="360" w:lineRule="auto"/>
        <w:jc w:val="both"/>
        <w:outlineLvl w:val="0"/>
        <w:rPr>
          <w:rFonts w:hint="eastAsia" w:ascii="仿宋" w:hAnsi="仿宋" w:eastAsia="仿宋" w:cs="仿宋"/>
          <w:b/>
          <w:bCs/>
          <w:sz w:val="32"/>
          <w:szCs w:val="32"/>
        </w:rPr>
      </w:pPr>
      <w:r>
        <w:rPr>
          <w:rFonts w:hint="eastAsia" w:ascii="仿宋" w:hAnsi="仿宋" w:eastAsia="仿宋" w:cs="仿宋"/>
          <w:b/>
          <w:bCs/>
          <w:sz w:val="32"/>
          <w:szCs w:val="32"/>
          <w:lang w:val="en-US" w:eastAsia="zh-CN"/>
        </w:rPr>
        <w:t>一、</w:t>
      </w:r>
      <w:r>
        <w:rPr>
          <w:rFonts w:hint="eastAsia" w:ascii="仿宋" w:hAnsi="仿宋" w:eastAsia="仿宋" w:cs="仿宋"/>
          <w:b/>
          <w:bCs/>
          <w:sz w:val="32"/>
          <w:szCs w:val="32"/>
        </w:rPr>
        <w:t>项目基本情况</w:t>
      </w:r>
      <w:bookmarkEnd w:id="0"/>
    </w:p>
    <w:p w14:paraId="371FADBB">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1"/>
        <w:rPr>
          <w:rFonts w:hint="eastAsia" w:ascii="仿宋" w:hAnsi="仿宋" w:eastAsia="仿宋" w:cs="仿宋"/>
          <w:b/>
          <w:bCs/>
          <w:sz w:val="32"/>
          <w:szCs w:val="32"/>
          <w:lang w:val="en-US"/>
        </w:rPr>
      </w:pPr>
      <w:bookmarkStart w:id="1" w:name="_Toc498385714"/>
      <w:bookmarkStart w:id="2" w:name="_Toc498385045"/>
      <w:bookmarkStart w:id="3" w:name="_Toc29907"/>
      <w:bookmarkStart w:id="4" w:name="_Toc29323"/>
      <w:r>
        <w:rPr>
          <w:rFonts w:hint="eastAsia" w:ascii="仿宋" w:hAnsi="仿宋" w:eastAsia="仿宋" w:cs="仿宋"/>
          <w:b/>
          <w:bCs/>
          <w:sz w:val="32"/>
          <w:szCs w:val="32"/>
          <w:lang w:val="en-US"/>
        </w:rPr>
        <w:t>（一）</w:t>
      </w:r>
      <w:bookmarkEnd w:id="1"/>
      <w:bookmarkEnd w:id="2"/>
      <w:r>
        <w:rPr>
          <w:rFonts w:hint="eastAsia" w:ascii="仿宋" w:hAnsi="仿宋" w:eastAsia="仿宋" w:cs="仿宋"/>
          <w:b/>
          <w:bCs/>
          <w:sz w:val="32"/>
          <w:szCs w:val="32"/>
          <w:lang w:val="en-US" w:eastAsia="zh-CN"/>
        </w:rPr>
        <w:t>县</w:t>
      </w:r>
      <w:r>
        <w:rPr>
          <w:rFonts w:hint="eastAsia" w:ascii="仿宋" w:hAnsi="仿宋" w:eastAsia="仿宋" w:cs="仿宋"/>
          <w:b/>
          <w:bCs/>
          <w:sz w:val="32"/>
          <w:szCs w:val="32"/>
          <w:lang w:val="en-US"/>
        </w:rPr>
        <w:t>级行业专项规划概况</w:t>
      </w:r>
      <w:bookmarkEnd w:id="3"/>
      <w:bookmarkEnd w:id="4"/>
    </w:p>
    <w:p w14:paraId="30CD156F">
      <w:pPr>
        <w:keepNext w:val="0"/>
        <w:keepLines w:val="0"/>
        <w:pageBreakBefore w:val="0"/>
        <w:widowControl w:val="0"/>
        <w:kinsoku/>
        <w:wordWrap/>
        <w:overflowPunct/>
        <w:topLinePunct w:val="0"/>
        <w:autoSpaceDE/>
        <w:autoSpaceDN/>
        <w:bidi w:val="0"/>
        <w:adjustRightInd/>
        <w:snapToGrid/>
        <w:spacing w:before="120" w:beforeLines="50" w:after="120" w:afterLines="50" w:line="360" w:lineRule="auto"/>
        <w:ind w:firstLine="560" w:firstLineChars="200"/>
        <w:textAlignment w:val="auto"/>
        <w:rPr>
          <w:rFonts w:hint="eastAsia" w:ascii="仿宋" w:hAnsi="仿宋" w:eastAsia="仿宋" w:cs="仿宋"/>
          <w:bCs/>
          <w:color w:val="auto"/>
          <w:sz w:val="28"/>
          <w:szCs w:val="28"/>
        </w:rPr>
      </w:pPr>
      <w:bookmarkStart w:id="5" w:name="_Toc18938"/>
      <w:bookmarkStart w:id="6" w:name="_Toc8651"/>
      <w:bookmarkStart w:id="7" w:name="_Toc30057"/>
      <w:bookmarkStart w:id="8" w:name="_Toc18204"/>
      <w:bookmarkStart w:id="9" w:name="_Toc21332"/>
      <w:bookmarkStart w:id="10" w:name="_Toc19274"/>
      <w:bookmarkStart w:id="11" w:name="_Toc30768"/>
      <w:bookmarkStart w:id="12" w:name="_Toc9841"/>
      <w:bookmarkStart w:id="13" w:name="_Toc3378"/>
      <w:bookmarkStart w:id="14" w:name="_Toc29490"/>
      <w:r>
        <w:rPr>
          <w:rFonts w:hint="eastAsia" w:ascii="仿宋" w:hAnsi="仿宋" w:eastAsia="仿宋" w:cs="仿宋"/>
          <w:bCs/>
          <w:color w:val="auto"/>
          <w:sz w:val="28"/>
          <w:szCs w:val="28"/>
        </w:rPr>
        <w:t>（1）社会经济发展现状</w:t>
      </w:r>
      <w:bookmarkEnd w:id="5"/>
    </w:p>
    <w:p w14:paraId="4D2E3E24">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武胜县地处四川省东部嘉陵江中游，位于广安地区西南部，处于四川、重庆两省市接合部，地理坐标介于北纬30°10′46″—30°32′36″，东经105°56′39″—106°26′50″之间。其辖区面积966平方千米，东西相距48.5千米，南北相距40.5千米。东临岳池，西连蓬溪，南接合川，北交南充，在区域位置上处于重庆、广安、遂宁、南充交汇轴心，是成渝地区双城经济圈腹心地带以及重庆一小时都市圈的重要组成部分，具备进城入圈的桥头堡优势，在区域协同发展中占据关键节点位置。</w:t>
      </w:r>
    </w:p>
    <w:p w14:paraId="102356A5">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在交通方面，武胜县交通网络不断完善，形成了陆运与水运协同的交通格局。兰海高速、遂广高速纵贯全境，兰渝铁路穿境而过，使得武胜与周边城市联系紧密，半小时可达广安、南充、遂宁、潼南、合川，1小时可至重庆，2小时能达成都，4小时可抵西安、贵阳，极大缩短了与周边主要城市的时空距离，为人员往来、物资运输及产业协同创造了良好条件。嘉陵江作为武胜县的水运通道，纵贯县域117千米，其千吨级船舶可直通上海，通江达海的水运优势，降低了大宗货物运输成本，促进了区域间的贸易往来。此外，县内公路建设成效显著，农村公路总里程达3817公里，实现了23个乡镇、276个行政村全部通水泥路（油路），公交、客运“村村通”全覆盖，不仅改善了农村居民出行条件，还打通了特色优势农产品运输渠道，有力推动了乡村产业发展与城乡融合。</w:t>
      </w:r>
    </w:p>
    <w:p w14:paraId="705FF0F9">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产业发展上，武胜县呈现多元并进的良好态势。农业基础扎实，是全国产粮大县、生猪调出大县，围绕粮油、生猪、蔬菜、蚕桑等主导产业，构建起现代农业产业体系。特色农产品丰富，如武胜大雅柑、清平竹丝画帘等，通过品牌化运作，提升了农产品附加值与市场竞争力。在工业领域，武胜县聚焦节能环保、装备制造、农产品加工等产业，以街子工业园区为核心载体，吸引众多企业入驻。其中，节能环保产业发展迅速，已形成从研发、生产到应用的完整产业链，为地方经济增长注入强劲动力。文旅产业也蓬勃兴起，依托嘉陵江生态资源与宝箴塞、龙女湖等特色文旅资源，打造了一系列文旅品牌活动，乡村旅游、红色旅游持续升温，带动了餐饮、住宿等服务业发展，促进了居民增收与产业结构优化升级。</w:t>
      </w:r>
    </w:p>
    <w:p w14:paraId="2805C670">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lang w:val="en-US" w:eastAsia="zh-CN"/>
        </w:rPr>
        <w:t>2</w:t>
      </w: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经济发展现状</w:t>
      </w:r>
    </w:p>
    <w:p w14:paraId="72A4062F">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1）2022年经济发展现状</w:t>
      </w:r>
    </w:p>
    <w:p w14:paraId="4112C2B4">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武胜县2022年地区生产总值达273.8亿元，按可比价计算增长2.0%。产业结构呈现出不同的发展态势。第一产业增加值为52.6亿元，增长4.4%，全年农林牧渔业总产值达84.3亿元，增长4.5%，粮食作物种植面积5.06万公顷，粮食总产量32.6万吨，农业生产稳定，为经济发展筑牢基础。</w:t>
      </w:r>
    </w:p>
    <w:p w14:paraId="6A7A7124">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第二产业增加值84.9亿元，下降0.2%。其中，工业增加值60.8亿元，下降0.3%，占GDP比重为22.2%，规模以上工业企业增加值下降0.4%，工业发展面临一定挑战。建筑业增加值24.1亿元，增长0.1%，占GDP比重8.8%，对经济增长贡献率为0.4%。</w:t>
      </w:r>
    </w:p>
    <w:p w14:paraId="0BBA0785">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第三产业增加值136.3亿元，增长2.2%，占GDP比重达49.8%，成为经济增长的重要支撑。社会消费品零售总额92.4亿元，下降6.9%，批发、零售、住宿、餐饮等行业均受到冲击，城镇市场消费品零售额62.5亿元，下降6.7%；乡村市场消费品零售额29.9亿元，下降7.5%，消费市场有待复苏。</w:t>
      </w:r>
    </w:p>
    <w:p w14:paraId="604A6E50">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民营经济在2022年实现增加值157.9亿元，增长2.4%，占GDP的比重为57.7%。其中，第一产业民营经济增加值18.4亿元，增长5.0%；第二产业增加值67.3亿元，增长0.3%；第三产业增加值72.2亿元，增长3.8%，在各产业领域发挥着重要作用。</w:t>
      </w:r>
    </w:p>
    <w:p w14:paraId="3DC0E347">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在财政金融方面，实现地方一般公共预算收入11.2亿元，增长19.5%，其中税收收入5.9亿元，下降1.4%，非税收入5.3亿元，增长52.0%，财政收入结构有所变化。年末金融机构各项存款余额419.8亿元，比年初增长10.9%；贷款余额199.2亿元，比年初增长12.3%，金融市场保持平稳运行。居民收入方面，农村居民人均可支配收入增长6.3%，城镇居民人均可支配收入增长4.5%，收入水平稳步提升。</w:t>
      </w:r>
    </w:p>
    <w:p w14:paraId="01740A67">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2）2023年经济发展现状</w:t>
      </w:r>
    </w:p>
    <w:p w14:paraId="260C0B6E">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2023年武胜县经济发展再上新台阶，地区生产总值达283.4亿元，按可比价计算，同比增长6.3%，发展步伐稳健有力。产业结构持续优化，第一产业增加值47.7亿元，增长4.0%，巩固了农业的基础地位，全年农林牧渔业总产值达76.6亿元，粮食作物种植面积达5.15万公顷，粮食总产量33.0万吨，实现2.19%的增长，为全县的粮食安全提供了坚实保障。特色农业发展成效显著，如武胜大雅柑、优质蚕桑、生态水产等产业规模不断扩大，建成高标准农田2.6万亩，有力推动了现代农业提质增效。</w:t>
      </w:r>
    </w:p>
    <w:p w14:paraId="54DCB164">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第二产业增加值为85.6亿元，增长6.1%。其中，工业增加值61.9亿元，增长5.7%，占GDP比重为21.8%。年末规模以上工业企业达107家，当年新增10户，规模以上工业增加值增长5.9%，重工业表现突出，增加值增长8.9%。工业投资增长迅猛，达209.3%，反映出工业发展的强劲动力，以铜铝再生资源为支柱，火锅食品、节能环保、天然气开发利用为特色的“1+3”现代工业体系日益完善。建筑业增加值23.8亿元，增长7.1%，占GDP比重8.4%，对经济增长贡献率为8.5%。</w:t>
      </w:r>
    </w:p>
    <w:p w14:paraId="34A34116">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第三产业发展势头良好，增加值150.1亿元，增长7.3%，占GDP比重达53.0%，成为经济增长的主要驱动力。社会消费品零售总额101.8亿元，增长10.2%，批发、零售、住宿、餐饮等行业均实现增长，显示出消费市场的活力。从地域看，城镇市场消费品零售额68.9亿元，增长10%；乡村市场消费品零售额32.9亿元，增长10.6%，城乡消费市场协同发展。</w:t>
      </w:r>
    </w:p>
    <w:p w14:paraId="46DD1C8B">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在民营经济方面，2023年实现增加值162.9亿元，增长5.3%，占GDP的比重为57.5%，在经济体系中占据重要地位。民营经济在各产业领域均有贡献，其中第一产业民营经济增加值16.0亿元，增长5.5%；第二产业增加值69.1亿元，增长7.9%；第三产业增加值77.8亿元，增长2.9%。</w:t>
      </w:r>
    </w:p>
    <w:p w14:paraId="323E47C3">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在财政金融方面，实现地方一般公共预算收入12.6亿元，增长12.2%，其中税收收入6.2亿元，增长4.8%，非税收入6.4亿元，增长20.5%，财政实力进一步增强。年末金融机构各项存款余额467.0亿元，比年初增长11.3%；贷款余额234.3亿元，比年初增长11.3%，金融市场平稳运行，为经济发展提供了有力的资金支持。居民收入持续增长，农村居民人均可支配收入增长7.2%，城镇居民人均可支配收入增长4.9%，生活水平稳步提升。</w:t>
      </w:r>
    </w:p>
    <w:p w14:paraId="169A005D">
      <w:pPr>
        <w:spacing w:line="360" w:lineRule="auto"/>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总体来看，武胜县在2022-2023年期间经济呈现发展态势，2023年经济增长加速，产业结构不断优化，第三产业占比持续提高且对经济增长贡献率较大，民营经济稳定发展，投资和消费对经济的拉动作用较为明显，财政金融运行平稳，居民收入持续增长。</w:t>
      </w:r>
    </w:p>
    <w:p w14:paraId="01341192">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）市县级层面</w:t>
      </w:r>
    </w:p>
    <w:p w14:paraId="2DAC12AC">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《武胜县“十四五”生态环境保护规划》</w:t>
      </w:r>
    </w:p>
    <w:p w14:paraId="76B0563E">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坚持以嘉陵江生态经济示范带建设为统揽，扎实开展生态创建，提档升级生态文明建设，将生态的理念植入乡镇、村（社）“神经末梢”，为创建生态文明建设示范县夯实底层基础，成功创建省级生态乡镇17个、市级生态村192个，市、县级“绿色学校”42所。围绕中国西部著名江湾湖畔休闲旅游城市的总体定位，推进城市提质工程，建成长滩寺河滨河湿地公园、黄林溪山体公园等生态项目，实施城乡建设用地增减挂钩和土地整理项目15个，人居环境显著提升。加强生态文化教育，建立生态环境教育基地73个，组建绿色志愿者队伍103支，实施绿色环保进社区、进单位、进学校等行动，全县环境教育普及率达85%以上。注重文化传承，保护性开发古院落7个。</w:t>
      </w:r>
    </w:p>
    <w:p w14:paraId="3D7B587C">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2025年，绿色低碳生产生活方式基本形成，国土空间开发保护格局更加优化，资源能源利用效率大幅提高，生态环境质量持续改善，生态服务功能明显提升，环境风险得到有效管控。</w:t>
      </w:r>
    </w:p>
    <w:p w14:paraId="586A7FD7">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生态环境持续改善。生态环境保护进一步取得明显成效，突出环境问题得到解决，主要污染物排放总量持续减少。到2025年，全县环境空气质量全面达标并持续改善，PM2.5和臭氧（O3）协同控制取得明显成效。水环境质量持续向好，纳入考核的国省控断面优良水体占比100%，重点小流域水质明显改善，水生生物资源恢复性增长。</w:t>
      </w:r>
    </w:p>
    <w:p w14:paraId="58AD842F">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生态系统稳定性显著增强。山水林田湖草系统保护修复全面推进，生态安全屏障更加牢固，生态保护红线占陆域国土面积比例不降低，重要生态空间面积不减少、功能不降低，生物多样性保护水平大幅提升，生态系统服务功能不断增强。城市区域生态系统质量不断改善。到2025年，全县森林覆盖率维持基期水平。</w:t>
      </w:r>
    </w:p>
    <w:p w14:paraId="7FCF843F">
      <w:pPr>
        <w:spacing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生态环境安全得到有力保障。土壤污染得到基本控制，土壤环境质量总体保持稳定，危险废物处理利用和化学物质环境风险防控能力明显增强，环境应急体系不断完善，环境应急能力持续提升，环境风险得到有效管控。</w:t>
      </w:r>
    </w:p>
    <w:p w14:paraId="75502814">
      <w:pPr>
        <w:pStyle w:val="14"/>
        <w:rPr>
          <w:rFonts w:hint="eastAsia" w:ascii="仿宋" w:hAnsi="仿宋" w:eastAsia="仿宋" w:cs="仿宋"/>
        </w:rPr>
      </w:pPr>
      <w:r>
        <w:rPr>
          <w:rFonts w:hint="eastAsia" w:ascii="仿宋" w:hAnsi="仿宋" w:eastAsia="仿宋" w:cs="仿宋"/>
          <w:bCs/>
          <w:color w:val="auto"/>
          <w:sz w:val="28"/>
          <w:szCs w:val="28"/>
          <w:highlight w:val="none"/>
        </w:rPr>
        <w:t>——生态环境治理体系和治理能力持续提升。生态文明制度改革深入推进，导向清晰、决策科学、执行有力、激励有效、多元参与、良性互动的环境治理体系基本形成，生态环境治理能力突出短板加快补齐，生态环境监管数字化、智能化步伐加快，生态环境治理效能显著提升。</w:t>
      </w:r>
    </w:p>
    <w:p w14:paraId="503F154C">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jc w:val="both"/>
        <w:textAlignment w:val="auto"/>
        <w:outlineLvl w:val="1"/>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（二）项目情况</w:t>
      </w:r>
      <w:bookmarkEnd w:id="6"/>
      <w:bookmarkEnd w:id="7"/>
      <w:bookmarkEnd w:id="8"/>
      <w:bookmarkEnd w:id="9"/>
      <w:bookmarkEnd w:id="10"/>
      <w:bookmarkEnd w:id="11"/>
      <w:bookmarkEnd w:id="12"/>
      <w:bookmarkEnd w:id="13"/>
    </w:p>
    <w:p w14:paraId="0CD48287">
      <w:pPr>
        <w:pStyle w:val="5"/>
        <w:outlineLvl w:val="2"/>
        <w:rPr>
          <w:rFonts w:hint="eastAsia" w:ascii="仿宋" w:hAnsi="仿宋" w:eastAsia="仿宋" w:cs="仿宋"/>
          <w:b/>
          <w:bCs/>
          <w:sz w:val="32"/>
          <w:szCs w:val="32"/>
          <w:lang w:val="en-US" w:eastAsia="zh-CN"/>
        </w:rPr>
      </w:pPr>
      <w:bookmarkStart w:id="15" w:name="_Toc9265"/>
      <w:bookmarkStart w:id="16" w:name="_Toc21872"/>
      <w:bookmarkStart w:id="17" w:name="_Toc7914"/>
      <w:bookmarkStart w:id="18" w:name="_Toc14119"/>
      <w:bookmarkStart w:id="19" w:name="_Toc11692"/>
      <w:bookmarkStart w:id="20" w:name="_Toc23988"/>
      <w:bookmarkStart w:id="21" w:name="_Toc1064"/>
      <w:bookmarkStart w:id="22" w:name="_Toc6078"/>
      <w:r>
        <w:rPr>
          <w:rFonts w:hint="eastAsia" w:ascii="仿宋" w:hAnsi="仿宋" w:eastAsia="仿宋" w:cs="仿宋"/>
          <w:b/>
          <w:bCs/>
          <w:sz w:val="32"/>
          <w:szCs w:val="32"/>
          <w:lang w:val="en-US" w:eastAsia="zh-CN"/>
        </w:rPr>
        <w:t>1.参与主体</w:t>
      </w:r>
      <w:bookmarkEnd w:id="15"/>
      <w:bookmarkEnd w:id="16"/>
      <w:bookmarkEnd w:id="17"/>
      <w:bookmarkEnd w:id="18"/>
      <w:bookmarkEnd w:id="19"/>
      <w:bookmarkEnd w:id="20"/>
      <w:bookmarkEnd w:id="21"/>
      <w:bookmarkEnd w:id="22"/>
    </w:p>
    <w:p w14:paraId="4940A2FA">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实施机构：</w:t>
      </w:r>
      <w:r>
        <w:rPr>
          <w:rFonts w:hint="eastAsia" w:ascii="仿宋" w:hAnsi="仿宋" w:eastAsia="仿宋" w:cs="仿宋"/>
          <w:b w:val="0"/>
          <w:bCs/>
          <w:kern w:val="2"/>
          <w:sz w:val="28"/>
          <w:szCs w:val="28"/>
          <w:lang w:val="en-US" w:eastAsia="zh-CN"/>
        </w:rPr>
        <w:t>武胜县住房和城乡建设局</w:t>
      </w:r>
    </w:p>
    <w:p w14:paraId="593A452D">
      <w:pPr>
        <w:ind w:firstLine="560" w:firstLineChars="200"/>
        <w:outlineLvl w:val="9"/>
        <w:rPr>
          <w:rFonts w:hint="eastAsia" w:ascii="仿宋" w:hAnsi="仿宋" w:eastAsia="仿宋" w:cs="仿宋"/>
          <w:b w:val="0"/>
          <w:bCs/>
          <w:kern w:val="2"/>
          <w:sz w:val="28"/>
          <w:szCs w:val="28"/>
          <w:highlight w:val="none"/>
          <w:lang w:val="en-US" w:eastAsia="zh-CN"/>
        </w:rPr>
      </w:pPr>
      <w:r>
        <w:rPr>
          <w:rFonts w:hint="eastAsia" w:ascii="仿宋" w:hAnsi="仿宋" w:eastAsia="仿宋" w:cs="仿宋"/>
          <w:b w:val="0"/>
          <w:bCs w:val="0"/>
          <w:caps/>
          <w:kern w:val="2"/>
          <w:sz w:val="28"/>
          <w:szCs w:val="28"/>
          <w:highlight w:val="none"/>
          <w:lang w:val="en-US" w:eastAsia="zh-CN" w:bidi="ar-SA"/>
        </w:rPr>
        <w:t>业主单位：</w:t>
      </w:r>
      <w:r>
        <w:rPr>
          <w:rFonts w:hint="eastAsia" w:ascii="仿宋" w:hAnsi="仿宋" w:eastAsia="仿宋" w:cs="仿宋"/>
          <w:b w:val="0"/>
          <w:bCs/>
          <w:kern w:val="2"/>
          <w:sz w:val="28"/>
          <w:szCs w:val="28"/>
          <w:highlight w:val="none"/>
          <w:lang w:val="en-US" w:eastAsia="zh-CN"/>
        </w:rPr>
        <w:t>武胜县住房和城乡建设局</w:t>
      </w:r>
    </w:p>
    <w:p w14:paraId="34E3648E">
      <w:pPr>
        <w:pageBreakBefore w:val="0"/>
        <w:numPr>
          <w:ilvl w:val="2"/>
          <w:numId w:val="0"/>
        </w:numPr>
        <w:tabs>
          <w:tab w:val="left" w:pos="0"/>
        </w:tabs>
        <w:kinsoku/>
        <w:wordWrap/>
        <w:overflowPunct/>
        <w:topLinePunct w:val="0"/>
        <w:bidi w:val="0"/>
        <w:spacing w:before="381" w:after="190" w:line="360" w:lineRule="auto"/>
        <w:ind w:firstLine="643" w:firstLineChars="200"/>
        <w:outlineLvl w:val="2"/>
        <w:rPr>
          <w:rFonts w:hint="eastAsia" w:ascii="仿宋" w:hAnsi="仿宋" w:eastAsia="仿宋" w:cs="仿宋"/>
          <w:b/>
          <w:bCs/>
          <w:kern w:val="0"/>
          <w:sz w:val="32"/>
          <w:szCs w:val="32"/>
          <w:highlight w:val="none"/>
          <w:lang w:val="en-US" w:eastAsia="zh-CN" w:bidi="ar-SA"/>
        </w:rPr>
      </w:pPr>
      <w:bookmarkStart w:id="23" w:name="_Toc10923"/>
      <w:bookmarkStart w:id="24" w:name="_Toc9122"/>
      <w:bookmarkStart w:id="25" w:name="_Toc30046"/>
      <w:bookmarkStart w:id="26" w:name="_Toc16934"/>
      <w:bookmarkStart w:id="27" w:name="_Toc5326"/>
      <w:bookmarkStart w:id="28" w:name="_Toc22356"/>
      <w:bookmarkStart w:id="29" w:name="_Toc4294"/>
      <w:bookmarkStart w:id="30" w:name="_Toc6630"/>
      <w:bookmarkStart w:id="31" w:name="_Toc14972"/>
      <w:r>
        <w:rPr>
          <w:rFonts w:hint="eastAsia" w:ascii="仿宋" w:hAnsi="仿宋" w:eastAsia="仿宋" w:cs="仿宋"/>
          <w:b/>
          <w:bCs/>
          <w:kern w:val="0"/>
          <w:sz w:val="32"/>
          <w:szCs w:val="32"/>
          <w:highlight w:val="none"/>
          <w:lang w:val="en-US" w:eastAsia="zh-CN" w:bidi="ar-SA"/>
        </w:rPr>
        <w:t>2.项目概况</w:t>
      </w:r>
      <w:bookmarkEnd w:id="23"/>
      <w:bookmarkEnd w:id="24"/>
      <w:bookmarkEnd w:id="25"/>
      <w:bookmarkEnd w:id="26"/>
      <w:bookmarkEnd w:id="27"/>
      <w:bookmarkEnd w:id="28"/>
      <w:bookmarkEnd w:id="29"/>
      <w:bookmarkEnd w:id="30"/>
      <w:bookmarkEnd w:id="31"/>
    </w:p>
    <w:p w14:paraId="4C0DE018">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项目名称：武胜县城东片区城市公园生态修复项目</w:t>
      </w:r>
    </w:p>
    <w:p w14:paraId="44C9172F">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项目所属领域：城市更新-其他城市更新基础设施建设</w:t>
      </w:r>
    </w:p>
    <w:p w14:paraId="32CBB7FF">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项目建设工期：24个月</w:t>
      </w:r>
    </w:p>
    <w:p w14:paraId="4BA1013F">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项目区位：广安市武胜县</w:t>
      </w:r>
    </w:p>
    <w:p w14:paraId="4F818684">
      <w:pPr>
        <w:keepNext w:val="0"/>
        <w:keepLines w:val="0"/>
        <w:pageBreakBefore w:val="0"/>
        <w:widowControl/>
        <w:suppressLineNumbers w:val="0"/>
        <w:kinsoku/>
        <w:wordWrap/>
        <w:overflowPunct/>
        <w:topLinePunct w:val="0"/>
        <w:autoSpaceDE/>
        <w:autoSpaceDN/>
        <w:bidi w:val="0"/>
        <w:adjustRightInd/>
        <w:snapToGrid/>
        <w:spacing w:after="180" w:afterAutospacing="0" w:line="360" w:lineRule="auto"/>
        <w:ind w:left="0" w:leftChars="0" w:firstLine="560" w:firstLineChars="200"/>
        <w:jc w:val="both"/>
        <w:textAlignment w:val="auto"/>
        <w:outlineLvl w:val="9"/>
        <w:rPr>
          <w:rFonts w:hint="eastAsia" w:ascii="仿宋" w:hAnsi="仿宋" w:eastAsia="仿宋" w:cs="仿宋"/>
        </w:rPr>
      </w:pPr>
      <w:r>
        <w:rPr>
          <w:rFonts w:hint="eastAsia" w:ascii="仿宋" w:hAnsi="仿宋" w:eastAsia="仿宋" w:cs="仿宋"/>
          <w:b w:val="0"/>
          <w:bCs w:val="0"/>
          <w:caps/>
          <w:kern w:val="2"/>
          <w:sz w:val="28"/>
          <w:szCs w:val="28"/>
          <w:lang w:val="en-US" w:eastAsia="zh-CN" w:bidi="ar-SA"/>
        </w:rPr>
        <w:t>项目说明：本项目为新建，资产无抵押或质押情况</w:t>
      </w:r>
    </w:p>
    <w:p w14:paraId="137C5D3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仿宋" w:hAnsi="仿宋" w:eastAsia="仿宋" w:cs="仿宋"/>
          <w:b w:val="0"/>
          <w:bCs w:val="0"/>
          <w:caps/>
          <w:kern w:val="2"/>
          <w:sz w:val="28"/>
          <w:szCs w:val="28"/>
          <w:lang w:val="en-US" w:eastAsia="zh-CN" w:bidi="ar-SA"/>
        </w:rPr>
      </w:pPr>
      <w:r>
        <w:rPr>
          <w:rFonts w:hint="eastAsia" w:ascii="仿宋" w:hAnsi="仿宋" w:eastAsia="仿宋" w:cs="仿宋"/>
          <w:b w:val="0"/>
          <w:bCs w:val="0"/>
          <w:caps/>
          <w:kern w:val="2"/>
          <w:sz w:val="28"/>
          <w:szCs w:val="28"/>
          <w:lang w:val="en-US" w:eastAsia="zh-CN" w:bidi="ar-SA"/>
        </w:rPr>
        <w:t>建设内容：</w:t>
      </w:r>
      <w:bookmarkEnd w:id="14"/>
      <w:bookmarkStart w:id="32" w:name="_Toc533440322"/>
      <w:bookmarkStart w:id="33" w:name="_Toc1403"/>
      <w:bookmarkStart w:id="34" w:name="_Toc523481534"/>
      <w:bookmarkStart w:id="35" w:name="_Toc1720132"/>
      <w:bookmarkStart w:id="36" w:name="_Toc522211065"/>
      <w:r>
        <w:rPr>
          <w:rFonts w:hint="eastAsia" w:ascii="仿宋" w:hAnsi="仿宋" w:eastAsia="仿宋" w:cs="仿宋"/>
          <w:b w:val="0"/>
          <w:bCs w:val="0"/>
          <w:caps/>
          <w:kern w:val="2"/>
          <w:sz w:val="28"/>
          <w:szCs w:val="28"/>
          <w:lang w:val="en-US" w:eastAsia="zh-CN" w:bidi="ar-SA"/>
        </w:rPr>
        <w:t>本项目对城东片区中滩湿地公园等老旧公园180亩进行生态修复，其中对沿线3km进行滑坡治理、环境整治、生态修复，对公园绿化、护栏等附属设施改造提升，配套建设停车位100个、充电桩等基础设施30套。</w:t>
      </w:r>
    </w:p>
    <w:p w14:paraId="44F7FB0D">
      <w:pPr>
        <w:numPr>
          <w:ilvl w:val="0"/>
          <w:numId w:val="0"/>
        </w:numPr>
        <w:spacing w:beforeLines="50" w:afterLines="50" w:line="360" w:lineRule="auto"/>
        <w:jc w:val="both"/>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二、经济社会效益分析</w:t>
      </w:r>
      <w:bookmarkEnd w:id="32"/>
      <w:bookmarkEnd w:id="33"/>
      <w:bookmarkEnd w:id="34"/>
      <w:bookmarkEnd w:id="35"/>
      <w:bookmarkEnd w:id="36"/>
    </w:p>
    <w:p w14:paraId="08C9EC52">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1"/>
        <w:rPr>
          <w:rFonts w:hint="eastAsia" w:ascii="仿宋" w:hAnsi="仿宋" w:eastAsia="仿宋" w:cs="仿宋"/>
          <w:b/>
          <w:bCs/>
          <w:sz w:val="32"/>
          <w:szCs w:val="32"/>
          <w:lang w:val="en-US"/>
        </w:rPr>
      </w:pPr>
      <w:bookmarkStart w:id="37" w:name="_Toc533440323"/>
      <w:bookmarkStart w:id="38" w:name="_Toc17794"/>
      <w:bookmarkStart w:id="39" w:name="_Toc522211066"/>
      <w:bookmarkStart w:id="40" w:name="_Toc523481535"/>
      <w:bookmarkStart w:id="41" w:name="_Toc1720133"/>
      <w:r>
        <w:rPr>
          <w:rFonts w:hint="eastAsia" w:ascii="仿宋" w:hAnsi="仿宋" w:eastAsia="仿宋" w:cs="仿宋"/>
          <w:b/>
          <w:bCs/>
          <w:sz w:val="32"/>
          <w:szCs w:val="32"/>
          <w:lang w:val="en-US"/>
        </w:rPr>
        <w:t>（一）经济效益分析</w:t>
      </w:r>
      <w:bookmarkEnd w:id="37"/>
      <w:bookmarkEnd w:id="38"/>
      <w:bookmarkEnd w:id="39"/>
      <w:bookmarkEnd w:id="40"/>
      <w:bookmarkEnd w:id="41"/>
    </w:p>
    <w:p w14:paraId="5E56BAFD">
      <w:pPr>
        <w:pStyle w:val="8"/>
        <w:spacing w:line="360" w:lineRule="auto"/>
        <w:ind w:left="0" w:leftChars="0" w:right="0" w:rightChars="0" w:firstLine="560" w:firstLineChars="200"/>
        <w:jc w:val="both"/>
        <w:rPr>
          <w:rFonts w:hint="eastAsia" w:ascii="仿宋" w:hAnsi="仿宋" w:eastAsia="仿宋" w:cs="仿宋"/>
          <w:color w:val="auto"/>
          <w:sz w:val="28"/>
          <w:szCs w:val="28"/>
          <w:highlight w:val="none"/>
        </w:rPr>
      </w:pPr>
      <w:bookmarkStart w:id="42" w:name="_Toc523481538"/>
      <w:bookmarkStart w:id="43" w:name="_Toc523157055"/>
      <w:bookmarkStart w:id="44" w:name="_Toc23271"/>
      <w:bookmarkStart w:id="45" w:name="_Toc1720136"/>
      <w:bookmarkStart w:id="46" w:name="_Toc533440326"/>
      <w:r>
        <w:rPr>
          <w:rFonts w:hint="eastAsia" w:ascii="仿宋" w:hAnsi="仿宋" w:eastAsia="仿宋" w:cs="仿宋"/>
          <w:color w:val="auto"/>
          <w:sz w:val="28"/>
          <w:szCs w:val="28"/>
          <w:highlight w:val="none"/>
          <w:lang w:eastAsia="zh-CN"/>
        </w:rPr>
        <w:t>武胜县城东片区城市公园生态修复项目</w:t>
      </w:r>
      <w:r>
        <w:rPr>
          <w:rFonts w:hint="eastAsia" w:ascii="仿宋" w:hAnsi="仿宋" w:eastAsia="仿宋" w:cs="仿宋"/>
          <w:color w:val="auto"/>
          <w:sz w:val="28"/>
          <w:szCs w:val="28"/>
          <w:highlight w:val="none"/>
        </w:rPr>
        <w:t>作为一项集环境治理、防灾整治于一体的重大工程，其实施必将对区域乃至国家经济发展产生深远而宏大的影响。项目依托绿色建筑、智能监控与生态修复技术，不仅推动了城市基础设施和生态环境的整体改善，还将引领产业结构升级与经济转型发展。</w:t>
      </w:r>
    </w:p>
    <w:p w14:paraId="7A0B7AED">
      <w:pPr>
        <w:pStyle w:val="8"/>
        <w:spacing w:line="360" w:lineRule="auto"/>
        <w:ind w:left="0" w:leftChars="0" w:right="0" w:rightChars="0"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在建设过程中大力推广先进施工工艺和节能降耗技术，充分体现了绿色低碳理念，这一举措将带动建材、装备制造、信息技术等上下游产业链的整体提升，形成产业集聚效应和规模经济效应。随着工程建设的有序推进和高标准验收，区域内将出现大量直接投资、技术引进与资本流动，进一步优化地方产业结构，提升城市综合承载力和竞争力。</w:t>
      </w:r>
    </w:p>
    <w:p w14:paraId="3D46C96A">
      <w:pPr>
        <w:pStyle w:val="8"/>
        <w:spacing w:line="360" w:lineRule="auto"/>
        <w:ind w:left="0" w:leftChars="0" w:right="0" w:rightChars="0" w:firstLine="560" w:firstLineChars="200"/>
        <w:jc w:val="both"/>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项目通过对武胜县</w:t>
      </w:r>
      <w:r>
        <w:rPr>
          <w:rFonts w:hint="eastAsia" w:ascii="仿宋" w:hAnsi="仿宋" w:eastAsia="仿宋" w:cs="仿宋"/>
          <w:color w:val="auto"/>
          <w:sz w:val="28"/>
          <w:szCs w:val="28"/>
          <w:highlight w:val="none"/>
          <w:lang w:eastAsia="zh-CN"/>
        </w:rPr>
        <w:t>城东片区</w:t>
      </w:r>
      <w:r>
        <w:rPr>
          <w:rFonts w:hint="eastAsia" w:ascii="仿宋" w:hAnsi="仿宋" w:eastAsia="仿宋" w:cs="仿宋"/>
          <w:color w:val="auto"/>
          <w:sz w:val="28"/>
          <w:szCs w:val="28"/>
          <w:highlight w:val="none"/>
        </w:rPr>
        <w:t>城市公园生态修复及周边生态环境的系统性改造，构建起独具特色的文化旅游和生态休闲体系，使得该区域逐步转变为集生态观光、休闲娱乐、文化展示于一体的多功能产业园区，进而吸引大量国内外游客和资本注入，形成旅游、商业、服务等多产业联动发展模式，从而对地区生产总值、就业人数和财政收入产生显著拉动作用。</w:t>
      </w:r>
    </w:p>
    <w:p w14:paraId="43387321">
      <w:pPr>
        <w:pageBreakBefore w:val="0"/>
        <w:widowControl w:val="0"/>
        <w:kinsoku/>
        <w:wordWrap/>
        <w:overflowPunct/>
        <w:topLinePunct w:val="0"/>
        <w:autoSpaceDE/>
        <w:autoSpaceDN/>
        <w:bidi w:val="0"/>
        <w:adjustRightInd/>
        <w:snapToGrid/>
        <w:spacing w:beforeLines="50" w:afterLines="50" w:line="360" w:lineRule="auto"/>
        <w:jc w:val="both"/>
        <w:textAlignment w:val="auto"/>
        <w:outlineLvl w:val="1"/>
        <w:rPr>
          <w:rFonts w:hint="eastAsia" w:ascii="仿宋" w:hAnsi="仿宋" w:eastAsia="仿宋" w:cs="仿宋"/>
          <w:b/>
          <w:bCs/>
          <w:sz w:val="32"/>
          <w:szCs w:val="32"/>
          <w:lang w:val="en-US"/>
        </w:rPr>
      </w:pP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val="en-US"/>
        </w:rPr>
        <w:t>社会效益分析</w:t>
      </w:r>
      <w:bookmarkEnd w:id="42"/>
      <w:bookmarkEnd w:id="43"/>
      <w:bookmarkEnd w:id="44"/>
      <w:bookmarkEnd w:id="45"/>
      <w:bookmarkEnd w:id="46"/>
    </w:p>
    <w:p w14:paraId="304AD860">
      <w:pPr>
        <w:numPr>
          <w:ilvl w:val="0"/>
          <w:numId w:val="0"/>
        </w:numPr>
        <w:spacing w:beforeLines="50" w:afterLines="50" w:line="360" w:lineRule="auto"/>
        <w:ind w:firstLine="560" w:firstLineChars="200"/>
        <w:jc w:val="both"/>
        <w:outlineLvl w:val="9"/>
        <w:rPr>
          <w:rFonts w:hint="eastAsia" w:ascii="仿宋" w:hAnsi="仿宋" w:eastAsia="仿宋" w:cs="仿宋"/>
          <w:b w:val="0"/>
          <w:bCs w:val="0"/>
          <w:kern w:val="2"/>
          <w:sz w:val="28"/>
          <w:szCs w:val="28"/>
          <w:lang w:val="en-US" w:eastAsia="zh-CN" w:bidi="ar-SA"/>
        </w:rPr>
      </w:pPr>
      <w:bookmarkStart w:id="47" w:name="_Toc19320"/>
      <w:r>
        <w:rPr>
          <w:rFonts w:hint="eastAsia" w:ascii="仿宋" w:hAnsi="仿宋" w:eastAsia="仿宋" w:cs="仿宋"/>
          <w:b w:val="0"/>
          <w:bCs w:val="0"/>
          <w:kern w:val="2"/>
          <w:sz w:val="28"/>
          <w:szCs w:val="28"/>
          <w:lang w:val="en-US" w:eastAsia="zh-CN" w:bidi="ar-SA"/>
        </w:rPr>
        <w:t>武胜县城东片区城市公园生态修复项目在社会效益方面同样具有极为深远的意义，其实施不仅将全面改善城市生态环境和公共服务设施，还将推动城市文明进步和社会和谐，提升居民生活品质和精神面貌。项目通过对武胜县</w:t>
      </w:r>
      <w:r>
        <w:rPr>
          <w:rFonts w:hint="eastAsia" w:ascii="仿宋" w:hAnsi="仿宋" w:eastAsia="仿宋" w:cs="仿宋"/>
          <w:color w:val="auto"/>
          <w:sz w:val="28"/>
          <w:szCs w:val="28"/>
          <w:highlight w:val="none"/>
          <w:lang w:eastAsia="zh-CN"/>
        </w:rPr>
        <w:t>城东片区</w:t>
      </w:r>
      <w:r>
        <w:rPr>
          <w:rFonts w:hint="eastAsia" w:ascii="仿宋" w:hAnsi="仿宋" w:eastAsia="仿宋" w:cs="仿宋"/>
          <w:b w:val="0"/>
          <w:bCs w:val="0"/>
          <w:kern w:val="2"/>
          <w:sz w:val="28"/>
          <w:szCs w:val="28"/>
          <w:lang w:val="en-US" w:eastAsia="zh-CN" w:bidi="ar-SA"/>
        </w:rPr>
        <w:t>城市公园生态修复及周边区域进行系统性生态修复和文化环境升级，改变了过去滑坡频发，环境污染、绿地稀缺的局面，为市民打造了一个集休闲娱乐、健康运动、文化体验于一体的综合公共空间。随着公园功能的不断完善和环境品质的整体提升，居民将能够在优美的自然环境中享受到高质量的生活，同时，也为城市提供了一个集生态教育、环境宣传、文化传承与休闲社交为一体的开放平台，极大地增强了市民的归属感和幸福感。</w:t>
      </w:r>
    </w:p>
    <w:p w14:paraId="748B5B11">
      <w:pPr>
        <w:numPr>
          <w:ilvl w:val="0"/>
          <w:numId w:val="0"/>
        </w:numPr>
        <w:spacing w:beforeLines="50" w:afterLines="50" w:line="360" w:lineRule="auto"/>
        <w:ind w:firstLine="560" w:firstLineChars="200"/>
        <w:jc w:val="both"/>
        <w:outlineLvl w:val="9"/>
        <w:rPr>
          <w:rFonts w:hint="eastAsia" w:ascii="仿宋" w:hAnsi="仿宋" w:eastAsia="仿宋" w:cs="仿宋"/>
          <w:b w:val="0"/>
          <w:bCs w:val="0"/>
          <w:kern w:val="2"/>
          <w:sz w:val="28"/>
          <w:szCs w:val="28"/>
          <w:lang w:val="en-US" w:eastAsia="zh-CN" w:bidi="ar-SA"/>
        </w:rPr>
      </w:pPr>
      <w:r>
        <w:rPr>
          <w:rFonts w:hint="eastAsia" w:ascii="仿宋" w:hAnsi="仿宋" w:eastAsia="仿宋" w:cs="仿宋"/>
          <w:b w:val="0"/>
          <w:bCs w:val="0"/>
          <w:kern w:val="2"/>
          <w:sz w:val="28"/>
          <w:szCs w:val="28"/>
          <w:lang w:val="en-US" w:eastAsia="zh-CN" w:bidi="ar-SA"/>
        </w:rPr>
        <w:t>项目所带来的生态修复效果和滑坡治理，将进一步推动武胜县环境治理，带动周边区域的基础设施改善和公共服务升级，形成资源共享、产业协同、利益联动的良好局面，从而促进区域内社会公平和共同富裕。武胜县城东片区城市公园生态修复项目以其系统化、综合性的建设模式和运营机制，为构建和谐社会提供了全新的实践样本，其深远的社会影响不仅体现在改善居民生活、增强社区凝聚力和提升城市文化品位上，更在于推动社会治理现代化、促进公民素质提升和构建多元共治的社会治理体系方面发挥了示范作用。项目的实施将为政府、企业及社会各界探索形成一条以生态文明、智慧治理和公众参与为核心的社会治理新路径，进而助推社会整体进步和国家软实力的提升，为构建社会主义现代化强国和实现全民共享的美好生活目标提供坚实的社会基础和动力支持。</w:t>
      </w:r>
    </w:p>
    <w:p w14:paraId="0AA071A2">
      <w:pPr>
        <w:numPr>
          <w:ilvl w:val="0"/>
          <w:numId w:val="0"/>
        </w:numPr>
        <w:spacing w:beforeLines="50" w:afterLines="50" w:line="360" w:lineRule="auto"/>
        <w:jc w:val="both"/>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三、项目投资估算与资金筹措方案</w:t>
      </w:r>
      <w:bookmarkEnd w:id="47"/>
    </w:p>
    <w:p w14:paraId="13089719">
      <w:pPr>
        <w:spacing w:beforeLines="50" w:afterLines="50" w:line="360" w:lineRule="auto"/>
        <w:outlineLvl w:val="1"/>
        <w:rPr>
          <w:rFonts w:hint="eastAsia" w:ascii="仿宋" w:hAnsi="仿宋" w:eastAsia="仿宋" w:cs="仿宋"/>
          <w:b/>
          <w:bCs/>
          <w:sz w:val="32"/>
          <w:szCs w:val="32"/>
        </w:rPr>
      </w:pPr>
      <w:bookmarkStart w:id="48" w:name="_Toc522211078"/>
      <w:bookmarkStart w:id="49" w:name="_Toc1720145"/>
      <w:bookmarkStart w:id="50" w:name="_Toc523481542"/>
      <w:bookmarkStart w:id="51" w:name="_Toc5108"/>
      <w:bookmarkStart w:id="52" w:name="_Toc533440335"/>
      <w:bookmarkStart w:id="53" w:name="_Toc523157062"/>
      <w:r>
        <w:rPr>
          <w:rFonts w:hint="eastAsia" w:ascii="仿宋" w:hAnsi="仿宋" w:eastAsia="仿宋" w:cs="仿宋"/>
          <w:b/>
          <w:bCs/>
          <w:sz w:val="32"/>
          <w:szCs w:val="32"/>
        </w:rPr>
        <w:t>（一）投资估算</w:t>
      </w:r>
      <w:bookmarkEnd w:id="48"/>
      <w:bookmarkEnd w:id="49"/>
      <w:bookmarkEnd w:id="50"/>
      <w:bookmarkEnd w:id="51"/>
      <w:bookmarkEnd w:id="52"/>
      <w:bookmarkEnd w:id="53"/>
    </w:p>
    <w:p w14:paraId="7F5A0819">
      <w:pPr>
        <w:spacing w:beforeLines="50" w:afterLines="50" w:line="360" w:lineRule="auto"/>
        <w:ind w:firstLine="560" w:firstLineChars="200"/>
        <w:jc w:val="both"/>
        <w:outlineLvl w:val="9"/>
        <w:rPr>
          <w:rFonts w:hint="eastAsia" w:ascii="仿宋" w:hAnsi="仿宋" w:eastAsia="仿宋" w:cs="仿宋"/>
          <w:color w:val="auto"/>
          <w:kern w:val="2"/>
          <w:sz w:val="28"/>
          <w:szCs w:val="28"/>
          <w:lang w:val="en-US" w:eastAsia="zh-CN"/>
        </w:rPr>
      </w:pPr>
      <w:bookmarkStart w:id="54" w:name="_Toc23109"/>
      <w:r>
        <w:rPr>
          <w:rFonts w:hint="eastAsia" w:ascii="仿宋" w:hAnsi="仿宋" w:eastAsia="仿宋" w:cs="仿宋"/>
          <w:color w:val="auto"/>
          <w:kern w:val="2"/>
          <w:sz w:val="28"/>
          <w:szCs w:val="28"/>
          <w:lang w:val="en-US" w:eastAsia="zh-CN"/>
        </w:rPr>
        <w:t>本项目投资总额为5000.00万元，静态总投资为4892.20 万元，占项目总投资的97.84%。其中，工程费用4145.00 万元，占项目总投资的82.90%；工程建设其他费用528.77 万元，占项目总投资的10.58%；预备费218.43 万元，占项目总投资的4.37%。建设期利息105.60 万元，占项目总投资的2.11%；债券发行费用2.20 万元，占项目总投资的0.04%。</w:t>
      </w:r>
    </w:p>
    <w:p w14:paraId="53EDE483">
      <w:pPr>
        <w:spacing w:beforeLines="50" w:afterLines="50" w:line="360" w:lineRule="auto"/>
        <w:outlineLvl w:val="1"/>
        <w:rPr>
          <w:rFonts w:hint="eastAsia" w:ascii="仿宋" w:hAnsi="仿宋" w:eastAsia="仿宋" w:cs="仿宋"/>
          <w:b/>
          <w:bCs/>
          <w:sz w:val="32"/>
          <w:szCs w:val="32"/>
        </w:rPr>
      </w:pPr>
      <w:r>
        <w:rPr>
          <w:rFonts w:hint="eastAsia" w:ascii="仿宋" w:hAnsi="仿宋" w:eastAsia="仿宋" w:cs="仿宋"/>
          <w:b/>
          <w:bCs/>
          <w:sz w:val="32"/>
          <w:szCs w:val="32"/>
        </w:rPr>
        <w:t>（二）资金筹措方案</w:t>
      </w:r>
      <w:bookmarkEnd w:id="54"/>
    </w:p>
    <w:p w14:paraId="66A206A6">
      <w:pPr>
        <w:numPr>
          <w:ilvl w:val="2"/>
          <w:numId w:val="0"/>
        </w:numPr>
        <w:spacing w:before="240" w:after="120"/>
        <w:ind w:firstLine="643" w:firstLineChars="200"/>
        <w:outlineLvl w:val="2"/>
        <w:rPr>
          <w:rFonts w:hint="eastAsia" w:ascii="仿宋" w:hAnsi="仿宋" w:eastAsia="仿宋" w:cs="仿宋"/>
          <w:b/>
          <w:bCs/>
          <w:sz w:val="32"/>
          <w:szCs w:val="32"/>
        </w:rPr>
      </w:pPr>
      <w:bookmarkStart w:id="55" w:name="_Toc522211083"/>
      <w:bookmarkStart w:id="56" w:name="_Toc20821"/>
      <w:bookmarkStart w:id="57" w:name="_Toc523481547"/>
      <w:bookmarkStart w:id="58" w:name="_Toc1720150"/>
      <w:bookmarkStart w:id="59" w:name="_Toc19703"/>
      <w:bookmarkStart w:id="60" w:name="_Toc533440340"/>
      <w:bookmarkStart w:id="61" w:name="_Toc523157067"/>
      <w:r>
        <w:rPr>
          <w:rFonts w:hint="eastAsia" w:ascii="仿宋" w:hAnsi="仿宋" w:eastAsia="仿宋" w:cs="仿宋"/>
          <w:b/>
          <w:bCs/>
          <w:sz w:val="32"/>
          <w:szCs w:val="32"/>
        </w:rPr>
        <w:t>1.资金来源</w:t>
      </w:r>
      <w:bookmarkEnd w:id="55"/>
      <w:bookmarkEnd w:id="56"/>
      <w:bookmarkEnd w:id="57"/>
      <w:bookmarkEnd w:id="58"/>
      <w:bookmarkEnd w:id="59"/>
      <w:bookmarkEnd w:id="60"/>
      <w:bookmarkEnd w:id="61"/>
    </w:p>
    <w:p w14:paraId="1FD76E80">
      <w:pPr>
        <w:spacing w:beforeLines="50" w:afterLines="50" w:line="360" w:lineRule="auto"/>
        <w:ind w:firstLine="560" w:firstLineChars="200"/>
        <w:jc w:val="both"/>
        <w:outlineLvl w:val="9"/>
        <w:rPr>
          <w:rFonts w:hint="eastAsia" w:ascii="仿宋" w:hAnsi="仿宋" w:eastAsia="仿宋" w:cs="仿宋"/>
          <w:color w:val="auto"/>
          <w:kern w:val="2"/>
          <w:sz w:val="28"/>
          <w:szCs w:val="28"/>
          <w:lang w:val="en-US" w:eastAsia="zh-CN"/>
        </w:rPr>
      </w:pPr>
      <w:r>
        <w:rPr>
          <w:rFonts w:hint="eastAsia" w:ascii="仿宋" w:hAnsi="仿宋" w:eastAsia="仿宋" w:cs="仿宋"/>
          <w:color w:val="auto"/>
          <w:kern w:val="2"/>
          <w:sz w:val="28"/>
          <w:szCs w:val="28"/>
          <w:lang w:val="en-US" w:eastAsia="zh-CN"/>
        </w:rPr>
        <w:t>本项目资本金来源：资本金均来源于财政资金，项目资本金2800.00 万元，占项目总投资的56.00%。</w:t>
      </w:r>
    </w:p>
    <w:p w14:paraId="14693484">
      <w:pPr>
        <w:spacing w:beforeLines="50" w:afterLines="50" w:line="360" w:lineRule="auto"/>
        <w:ind w:firstLine="560" w:firstLineChars="200"/>
        <w:jc w:val="both"/>
        <w:outlineLvl w:val="9"/>
        <w:rPr>
          <w:rFonts w:hint="eastAsia" w:ascii="仿宋" w:hAnsi="仿宋" w:eastAsia="仿宋" w:cs="仿宋"/>
          <w:color w:val="auto"/>
          <w:kern w:val="2"/>
          <w:sz w:val="28"/>
          <w:szCs w:val="28"/>
          <w:lang w:val="en-US" w:eastAsia="zh-CN"/>
        </w:rPr>
      </w:pPr>
      <w:r>
        <w:rPr>
          <w:rFonts w:hint="eastAsia" w:ascii="仿宋" w:hAnsi="仿宋" w:eastAsia="仿宋" w:cs="仿宋"/>
          <w:color w:val="auto"/>
          <w:kern w:val="2"/>
          <w:sz w:val="28"/>
          <w:szCs w:val="28"/>
          <w:lang w:val="en-US" w:eastAsia="zh-CN"/>
        </w:rPr>
        <w:t>融资来源：本项目拟发行专项债券总额2200.00 万元，占总投资比例为44.00%，其中：第1年申请发行专项债券1100.00万元,第2年申请发行专项债券1100.00万元，债券利率按3.20%测算，发行年限30年，发行费用为面值的1‰。</w:t>
      </w:r>
    </w:p>
    <w:p w14:paraId="32B1A628">
      <w:pPr>
        <w:numPr>
          <w:ilvl w:val="0"/>
          <w:numId w:val="0"/>
        </w:numPr>
        <w:spacing w:before="240" w:after="120"/>
        <w:ind w:leftChars="0" w:firstLine="643" w:firstLineChars="200"/>
        <w:outlineLvl w:val="2"/>
        <w:rPr>
          <w:rFonts w:hint="eastAsia" w:ascii="仿宋" w:hAnsi="仿宋" w:eastAsia="仿宋" w:cs="仿宋"/>
          <w:b/>
          <w:bCs/>
          <w:sz w:val="32"/>
          <w:szCs w:val="32"/>
        </w:rPr>
      </w:pPr>
      <w:bookmarkStart w:id="62" w:name="_Toc533440342"/>
      <w:bookmarkStart w:id="63" w:name="_Toc523481549"/>
      <w:bookmarkStart w:id="64" w:name="_Toc1720152"/>
      <w:bookmarkStart w:id="65" w:name="_Toc523157069"/>
      <w:bookmarkStart w:id="66" w:name="_Toc25776"/>
      <w:r>
        <w:rPr>
          <w:rFonts w:hint="eastAsia" w:ascii="仿宋" w:hAnsi="仿宋" w:eastAsia="仿宋" w:cs="仿宋"/>
          <w:b/>
          <w:bCs/>
          <w:sz w:val="32"/>
          <w:szCs w:val="32"/>
          <w:lang w:val="en-US" w:eastAsia="zh-CN"/>
        </w:rPr>
        <w:t>2.</w:t>
      </w:r>
      <w:r>
        <w:rPr>
          <w:rFonts w:hint="eastAsia" w:ascii="仿宋" w:hAnsi="仿宋" w:eastAsia="仿宋" w:cs="仿宋"/>
          <w:b/>
          <w:bCs/>
          <w:sz w:val="32"/>
          <w:szCs w:val="32"/>
        </w:rPr>
        <w:t>资金使用计划</w:t>
      </w:r>
      <w:bookmarkEnd w:id="62"/>
      <w:bookmarkEnd w:id="63"/>
      <w:bookmarkEnd w:id="64"/>
      <w:bookmarkEnd w:id="65"/>
      <w:bookmarkEnd w:id="66"/>
    </w:p>
    <w:p w14:paraId="24C790EE">
      <w:pPr>
        <w:spacing w:beforeLines="50" w:afterLines="50" w:line="360" w:lineRule="auto"/>
        <w:ind w:firstLine="560" w:firstLineChars="200"/>
        <w:jc w:val="both"/>
        <w:outlineLvl w:val="9"/>
        <w:rPr>
          <w:rFonts w:hint="eastAsia" w:ascii="仿宋" w:hAnsi="仿宋" w:eastAsia="仿宋" w:cs="仿宋"/>
          <w:color w:val="auto"/>
          <w:kern w:val="2"/>
          <w:sz w:val="28"/>
          <w:szCs w:val="28"/>
          <w:lang w:val="en-US" w:eastAsia="zh-CN"/>
        </w:rPr>
      </w:pPr>
      <w:bookmarkStart w:id="67" w:name="_Toc9196"/>
      <w:r>
        <w:rPr>
          <w:rFonts w:hint="eastAsia" w:ascii="仿宋" w:hAnsi="仿宋" w:eastAsia="仿宋" w:cs="仿宋"/>
          <w:color w:val="auto"/>
          <w:kern w:val="2"/>
          <w:sz w:val="28"/>
          <w:szCs w:val="28"/>
        </w:rPr>
        <w:t>项目所筹资金将根据项目实施计划和实时建设进度来进行合理分配，且将全部投资于本项目，具体数额应当根据进度支出。在保证项目工程投资资金充足的情况下，充分利用且不浪费当年度专项债券融资额度。</w:t>
      </w:r>
    </w:p>
    <w:p w14:paraId="448847E9">
      <w:pPr>
        <w:spacing w:beforeLines="50" w:afterLines="50" w:line="360" w:lineRule="auto"/>
        <w:jc w:val="both"/>
        <w:outlineLvl w:val="0"/>
        <w:rPr>
          <w:rFonts w:hint="eastAsia" w:ascii="仿宋" w:hAnsi="仿宋" w:eastAsia="仿宋" w:cs="仿宋"/>
          <w:b/>
          <w:bCs/>
          <w:sz w:val="32"/>
          <w:szCs w:val="32"/>
        </w:rPr>
      </w:pPr>
      <w:r>
        <w:rPr>
          <w:rFonts w:hint="eastAsia" w:ascii="仿宋" w:hAnsi="仿宋" w:eastAsia="仿宋" w:cs="仿宋"/>
          <w:b/>
          <w:bCs/>
          <w:sz w:val="32"/>
          <w:szCs w:val="32"/>
        </w:rPr>
        <w:t>四、项目预期收益、成本及融资平衡情况</w:t>
      </w:r>
      <w:bookmarkEnd w:id="67"/>
    </w:p>
    <w:p w14:paraId="18DF8B23">
      <w:pPr>
        <w:spacing w:beforeLines="50" w:afterLines="50" w:line="360" w:lineRule="auto"/>
        <w:outlineLvl w:val="1"/>
        <w:rPr>
          <w:rFonts w:hint="eastAsia" w:ascii="仿宋" w:hAnsi="仿宋" w:eastAsia="仿宋" w:cs="仿宋"/>
          <w:b/>
          <w:bCs/>
          <w:sz w:val="32"/>
          <w:szCs w:val="32"/>
        </w:rPr>
      </w:pPr>
      <w:bookmarkStart w:id="68" w:name="_Toc27170"/>
      <w:bookmarkStart w:id="69" w:name="_Toc523157072"/>
      <w:bookmarkStart w:id="70" w:name="_Toc1720155"/>
      <w:bookmarkStart w:id="71" w:name="_Toc523481552"/>
      <w:bookmarkStart w:id="72" w:name="_Toc533440345"/>
      <w:bookmarkStart w:id="73" w:name="_Toc522211088"/>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一</w:t>
      </w:r>
      <w:r>
        <w:rPr>
          <w:rFonts w:hint="eastAsia" w:ascii="仿宋" w:hAnsi="仿宋" w:eastAsia="仿宋" w:cs="仿宋"/>
          <w:b/>
          <w:bCs/>
          <w:sz w:val="32"/>
          <w:szCs w:val="32"/>
          <w:lang w:eastAsia="zh-CN"/>
        </w:rPr>
        <w:t>）</w:t>
      </w:r>
      <w:r>
        <w:rPr>
          <w:rFonts w:hint="eastAsia" w:ascii="仿宋" w:hAnsi="仿宋" w:eastAsia="仿宋" w:cs="仿宋"/>
          <w:b/>
          <w:bCs/>
          <w:sz w:val="32"/>
          <w:szCs w:val="32"/>
        </w:rPr>
        <w:t>预期收益</w:t>
      </w:r>
      <w:bookmarkEnd w:id="68"/>
      <w:bookmarkEnd w:id="69"/>
      <w:bookmarkEnd w:id="70"/>
      <w:bookmarkEnd w:id="71"/>
      <w:bookmarkEnd w:id="72"/>
      <w:bookmarkEnd w:id="73"/>
    </w:p>
    <w:p w14:paraId="25B4DB49">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1.项目收入预测</w:t>
      </w:r>
    </w:p>
    <w:p w14:paraId="192A4F2C">
      <w:pPr>
        <w:spacing w:beforeLines="50" w:afterLines="50" w:line="360" w:lineRule="auto"/>
        <w:ind w:firstLine="562" w:firstLineChars="200"/>
        <w:jc w:val="both"/>
        <w:outlineLvl w:val="9"/>
        <w:rPr>
          <w:rStyle w:val="27"/>
          <w:rFonts w:hint="eastAsia" w:ascii="仿宋" w:hAnsi="仿宋" w:eastAsia="仿宋" w:cs="仿宋"/>
          <w:b/>
          <w:bCs/>
          <w:caps w:val="0"/>
          <w:kern w:val="0"/>
          <w:sz w:val="28"/>
          <w:szCs w:val="28"/>
          <w:lang w:val="en-US" w:eastAsia="zh-CN" w:bidi="ar-SA"/>
        </w:rPr>
      </w:pPr>
      <w:r>
        <w:rPr>
          <w:rStyle w:val="27"/>
          <w:rFonts w:hint="eastAsia" w:ascii="仿宋" w:hAnsi="仿宋" w:eastAsia="仿宋" w:cs="仿宋"/>
          <w:b/>
          <w:bCs/>
          <w:lang w:val="en-US" w:eastAsia="zh-CN"/>
        </w:rPr>
        <w:t>本项目收入来源</w:t>
      </w:r>
      <w:r>
        <w:rPr>
          <w:rStyle w:val="27"/>
          <w:rFonts w:hint="eastAsia" w:ascii="仿宋" w:hAnsi="仿宋" w:eastAsia="仿宋" w:cs="仿宋"/>
          <w:lang w:val="en-US" w:eastAsia="zh-CN"/>
        </w:rPr>
        <w:t>：停车位收入、双枪充电桩收入，收入具有较强的可行性。</w:t>
      </w:r>
    </w:p>
    <w:p w14:paraId="7C3F0723">
      <w:pPr>
        <w:pStyle w:val="22"/>
        <w:bidi w:val="0"/>
        <w:outlineLvl w:val="9"/>
        <w:rPr>
          <w:rFonts w:hint="eastAsia" w:ascii="仿宋" w:hAnsi="仿宋" w:eastAsia="仿宋" w:cs="仿宋"/>
          <w:lang w:val="en-US" w:eastAsia="zh-CN"/>
        </w:rPr>
      </w:pPr>
      <w:r>
        <w:rPr>
          <w:rFonts w:hint="eastAsia" w:ascii="仿宋" w:hAnsi="仿宋" w:eastAsia="仿宋" w:cs="仿宋"/>
          <w:lang w:val="en-US" w:eastAsia="zh-CN"/>
        </w:rPr>
        <w:t>根据上述分析可对本项目债券期限内，项目收入进行测算，预测收入为：7009.96万元。</w:t>
      </w:r>
    </w:p>
    <w:p w14:paraId="0F21F3FD">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2.成本预测</w:t>
      </w:r>
    </w:p>
    <w:p w14:paraId="109FF202">
      <w:pPr>
        <w:spacing w:beforeLines="50" w:afterLines="50" w:line="360" w:lineRule="auto"/>
        <w:ind w:firstLine="560" w:firstLineChars="200"/>
        <w:outlineLvl w:val="9"/>
        <w:rPr>
          <w:rFonts w:hint="eastAsia" w:ascii="仿宋" w:hAnsi="仿宋" w:eastAsia="仿宋" w:cs="仿宋"/>
          <w:sz w:val="28"/>
          <w:szCs w:val="28"/>
          <w:lang w:val="en-US" w:eastAsia="zh-CN"/>
        </w:rPr>
      </w:pPr>
      <w:bookmarkStart w:id="74" w:name="_Toc373"/>
      <w:r>
        <w:rPr>
          <w:rFonts w:hint="eastAsia" w:ascii="仿宋" w:hAnsi="仿宋" w:eastAsia="仿宋" w:cs="仿宋"/>
          <w:sz w:val="28"/>
          <w:szCs w:val="28"/>
          <w:lang w:val="en-US" w:eastAsia="zh-CN"/>
        </w:rPr>
        <w:t>本项目成本包括：经营成本、固定资产折旧费、财务费用、相关税费等。经计算可知，本项目预测期成本费用为6240.13万元。</w:t>
      </w:r>
    </w:p>
    <w:p w14:paraId="1F005BFB">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3.项目损益</w:t>
      </w:r>
      <w:bookmarkEnd w:id="74"/>
    </w:p>
    <w:p w14:paraId="6E6BC698">
      <w:pPr>
        <w:spacing w:beforeLines="50" w:afterLines="50" w:line="360" w:lineRule="auto"/>
        <w:ind w:firstLine="560" w:firstLineChars="200"/>
        <w:outlineLvl w:val="9"/>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综合上述专项收入、经营成本费用的估算，本项目在债券存续期内运营总收入预计为7009.96 万元，总成本预计为6240.13 万元，累计净利润为560.54 万元，本项目收入可偿债息前净现金流为4850.83 万元，专项债券融资到期本息合计4312.00 万元，本项目收益覆盖倍数为1.12 倍。</w:t>
      </w:r>
    </w:p>
    <w:p w14:paraId="1857D4D2">
      <w:pPr>
        <w:spacing w:beforeLines="50" w:afterLines="50" w:line="360" w:lineRule="auto"/>
        <w:outlineLvl w:val="1"/>
        <w:rPr>
          <w:rFonts w:hint="eastAsia" w:ascii="仿宋" w:hAnsi="仿宋" w:eastAsia="仿宋" w:cs="仿宋"/>
          <w:b/>
          <w:bCs/>
          <w:sz w:val="32"/>
          <w:szCs w:val="32"/>
        </w:rPr>
      </w:pP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二</w:t>
      </w:r>
      <w:r>
        <w:rPr>
          <w:rFonts w:hint="eastAsia" w:ascii="仿宋" w:hAnsi="仿宋" w:eastAsia="仿宋" w:cs="仿宋"/>
          <w:b/>
          <w:bCs/>
          <w:sz w:val="32"/>
          <w:szCs w:val="32"/>
          <w:lang w:eastAsia="zh-CN"/>
        </w:rPr>
        <w:t>）</w:t>
      </w:r>
      <w:r>
        <w:rPr>
          <w:rFonts w:hint="eastAsia" w:ascii="仿宋" w:hAnsi="仿宋" w:eastAsia="仿宋" w:cs="仿宋"/>
          <w:b/>
          <w:bCs/>
          <w:sz w:val="32"/>
          <w:szCs w:val="32"/>
        </w:rPr>
        <w:t>资金测算平衡情况</w:t>
      </w:r>
    </w:p>
    <w:p w14:paraId="7C57CF01">
      <w:pPr>
        <w:spacing w:beforeLines="50" w:afterLines="50" w:line="360" w:lineRule="auto"/>
        <w:ind w:firstLine="643" w:firstLineChars="200"/>
        <w:outlineLvl w:val="2"/>
        <w:rPr>
          <w:rFonts w:hint="eastAsia" w:ascii="仿宋" w:hAnsi="仿宋" w:eastAsia="仿宋" w:cs="仿宋"/>
          <w:b/>
          <w:bCs/>
          <w:sz w:val="32"/>
          <w:szCs w:val="32"/>
          <w:lang w:val="en-US" w:eastAsia="zh-CN"/>
        </w:rPr>
      </w:pPr>
      <w:bookmarkStart w:id="75" w:name="_Toc1381"/>
      <w:bookmarkStart w:id="76" w:name="_Toc20333"/>
      <w:bookmarkStart w:id="77" w:name="_Toc18760766"/>
      <w:bookmarkStart w:id="78" w:name="_Toc24256"/>
      <w:r>
        <w:rPr>
          <w:rFonts w:hint="eastAsia" w:ascii="仿宋" w:hAnsi="仿宋" w:eastAsia="仿宋" w:cs="仿宋"/>
          <w:b/>
          <w:bCs/>
          <w:sz w:val="32"/>
          <w:szCs w:val="32"/>
          <w:lang w:val="en-US" w:eastAsia="zh-CN"/>
        </w:rPr>
        <w:t>1.项目还本付息计划</w:t>
      </w:r>
      <w:bookmarkEnd w:id="75"/>
      <w:bookmarkEnd w:id="76"/>
      <w:bookmarkEnd w:id="77"/>
      <w:bookmarkEnd w:id="78"/>
    </w:p>
    <w:p w14:paraId="7D235456">
      <w:pPr>
        <w:spacing w:beforeLines="50" w:afterLines="50" w:line="360" w:lineRule="auto"/>
        <w:ind w:firstLine="560" w:firstLineChars="200"/>
        <w:outlineLvl w:val="9"/>
        <w:rPr>
          <w:rFonts w:hint="eastAsia" w:ascii="仿宋" w:hAnsi="仿宋" w:eastAsia="仿宋" w:cs="仿宋"/>
          <w:bCs/>
          <w:color w:val="000000"/>
          <w:sz w:val="28"/>
          <w:szCs w:val="28"/>
        </w:rPr>
      </w:pPr>
      <w:bookmarkStart w:id="79" w:name="_Toc12782"/>
      <w:bookmarkStart w:id="80" w:name="_Toc13883"/>
      <w:bookmarkStart w:id="81" w:name="_Toc15443"/>
      <w:bookmarkStart w:id="82" w:name="_Toc18760767"/>
      <w:r>
        <w:rPr>
          <w:rFonts w:hint="eastAsia" w:ascii="仿宋" w:hAnsi="仿宋" w:eastAsia="仿宋" w:cs="仿宋"/>
          <w:bCs/>
          <w:color w:val="000000"/>
          <w:sz w:val="28"/>
          <w:szCs w:val="28"/>
        </w:rPr>
        <w:t>本项目发行债券需支付的利息，按照3.20%利率计算，债券发行期限为30年。假设在年初发行债券，每半年付息一次，期满一次偿还本金和最后一笔利息。债券存续期内累计需支付利息2112.00 万元，其中：专项债券建设期利息计105.60 万元计入建设投资，专项债券在运营期间产生的利息费用2006.40 万元。</w:t>
      </w:r>
    </w:p>
    <w:p w14:paraId="4F8C399F">
      <w:pPr>
        <w:spacing w:beforeLines="50" w:afterLines="50" w:line="360" w:lineRule="auto"/>
        <w:ind w:firstLine="643" w:firstLineChars="200"/>
        <w:outlineLvl w:val="2"/>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2.项目资金平衡情况</w:t>
      </w:r>
      <w:bookmarkEnd w:id="79"/>
      <w:bookmarkEnd w:id="80"/>
      <w:bookmarkEnd w:id="81"/>
      <w:bookmarkEnd w:id="82"/>
    </w:p>
    <w:p w14:paraId="256100A6">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（1）资金平衡情况</w:t>
      </w:r>
    </w:p>
    <w:p w14:paraId="242D4009">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若项目在满足上述资金筹集计划、项目实施计划、资金使用计划及预期收益的假设前提下，政府专项债到期日累计资金结余644.43 万元，项目在预测期内“息前净现金流”为4850.83 万元，可偿债“净现金流”为2844.43 万元，“专项债券融资到期本息”合计4312.00 万元；</w:t>
      </w:r>
    </w:p>
    <w:p w14:paraId="67B8D232">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本项目收益覆盖倍数（息前净现金流/专项债券融资到期本息）为1.12 倍，期间不存在资金缺口。</w:t>
      </w:r>
    </w:p>
    <w:p w14:paraId="4070CDF1">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（2）项目运营情况</w:t>
      </w:r>
    </w:p>
    <w:p w14:paraId="5CA9C113">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项目运营预期收入：7009.96 万元</w:t>
      </w:r>
    </w:p>
    <w:p w14:paraId="3A0771C5">
      <w:pPr>
        <w:spacing w:beforeLines="50" w:afterLines="50" w:line="360" w:lineRule="auto"/>
        <w:ind w:firstLine="560" w:firstLineChars="200"/>
        <w:jc w:val="both"/>
        <w:outlineLvl w:val="9"/>
        <w:rPr>
          <w:rFonts w:hint="eastAsia" w:ascii="仿宋" w:hAnsi="仿宋" w:eastAsia="仿宋" w:cs="仿宋"/>
          <w:kern w:val="2"/>
          <w:sz w:val="28"/>
          <w:szCs w:val="28"/>
          <w:lang w:val="en-US"/>
        </w:rPr>
      </w:pPr>
      <w:r>
        <w:rPr>
          <w:rFonts w:hint="eastAsia" w:ascii="仿宋" w:hAnsi="仿宋" w:eastAsia="仿宋" w:cs="仿宋"/>
          <w:kern w:val="2"/>
          <w:sz w:val="28"/>
          <w:szCs w:val="28"/>
          <w:lang w:val="en-US"/>
        </w:rPr>
        <w:t>项目运营支出（不含财务费用）=经营活动产生的现金流出=项目运营成本（不含财务费用）+其他运营支出=2159.13 万元。</w:t>
      </w:r>
    </w:p>
    <w:p w14:paraId="50CCC6BC">
      <w:pPr>
        <w:spacing w:beforeLines="50" w:afterLines="50" w:line="360" w:lineRule="auto"/>
        <w:ind w:firstLine="560" w:firstLineChars="200"/>
        <w:jc w:val="both"/>
        <w:outlineLvl w:val="9"/>
        <w:rPr>
          <w:rFonts w:hint="eastAsia" w:ascii="仿宋" w:hAnsi="仿宋" w:eastAsia="仿宋" w:cs="仿宋"/>
          <w:sz w:val="28"/>
          <w:szCs w:val="28"/>
          <w:lang w:val="en-US" w:eastAsia="zh-CN"/>
        </w:rPr>
        <w:sectPr>
          <w:footerReference r:id="rId5" w:type="default"/>
          <w:pgSz w:w="11906" w:h="16838"/>
          <w:pgMar w:top="1440" w:right="1800" w:bottom="1440" w:left="1800" w:header="851" w:footer="992" w:gutter="0"/>
          <w:pgNumType w:fmt="decimal" w:start="1"/>
          <w:cols w:space="425" w:num="1"/>
          <w:docGrid w:type="lines" w:linePitch="326" w:charSpace="0"/>
        </w:sectPr>
      </w:pPr>
      <w:r>
        <w:rPr>
          <w:rFonts w:hint="eastAsia" w:ascii="仿宋" w:hAnsi="仿宋" w:eastAsia="仿宋" w:cs="仿宋"/>
          <w:sz w:val="28"/>
          <w:szCs w:val="28"/>
          <w:lang w:val="en-US" w:eastAsia="zh-CN"/>
        </w:rPr>
        <w:t>资金测算平衡情况具体见表下表所示。</w:t>
      </w:r>
    </w:p>
    <w:p w14:paraId="5A298CED">
      <w:pPr>
        <w:pStyle w:val="5"/>
        <w:jc w:val="center"/>
        <w:outlineLvl w:val="1"/>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资金平衡测算表</w:t>
      </w:r>
    </w:p>
    <w:p w14:paraId="420E5765">
      <w:pPr>
        <w:pStyle w:val="13"/>
        <w:jc w:val="right"/>
        <w:outlineLvl w:val="1"/>
        <w:rPr>
          <w:rFonts w:hint="eastAsia" w:ascii="仿宋" w:hAnsi="仿宋" w:eastAsia="仿宋" w:cs="仿宋"/>
          <w:b/>
          <w:bCs/>
          <w:caps w:val="0"/>
          <w:kern w:val="0"/>
          <w:sz w:val="24"/>
          <w:szCs w:val="24"/>
          <w:lang w:val="en-US" w:eastAsia="zh-CN" w:bidi="ar-SA"/>
        </w:rPr>
      </w:pPr>
      <w:r>
        <w:rPr>
          <w:rFonts w:hint="eastAsia" w:ascii="仿宋" w:hAnsi="仿宋" w:eastAsia="仿宋" w:cs="仿宋"/>
          <w:b/>
          <w:bCs/>
          <w:caps w:val="0"/>
          <w:kern w:val="0"/>
          <w:sz w:val="24"/>
          <w:szCs w:val="24"/>
          <w:lang w:val="en-US" w:eastAsia="zh-CN" w:bidi="ar-SA"/>
        </w:rPr>
        <w:t>单位：万元</w:t>
      </w:r>
    </w:p>
    <w:p w14:paraId="26CD8261">
      <w:pPr>
        <w:pStyle w:val="14"/>
        <w:ind w:left="0" w:leftChars="0" w:firstLine="0" w:firstLineChars="0"/>
        <w:jc w:val="center"/>
        <w:rPr>
          <w:rFonts w:hint="eastAsia" w:ascii="仿宋" w:hAnsi="仿宋" w:eastAsia="仿宋" w:cs="仿宋"/>
          <w:b/>
          <w:bCs/>
          <w:color w:val="auto"/>
          <w:kern w:val="2"/>
          <w:sz w:val="32"/>
          <w:szCs w:val="32"/>
          <w:highlight w:val="none"/>
          <w:lang w:val="en-US" w:eastAsia="zh-CN" w:bidi="ar-SA"/>
        </w:rPr>
        <w:sectPr>
          <w:headerReference r:id="rId6" w:type="default"/>
          <w:pgSz w:w="16838" w:h="11906" w:orient="landscape"/>
          <w:pgMar w:top="720" w:right="720" w:bottom="720" w:left="720" w:header="851" w:footer="992" w:gutter="0"/>
          <w:pgNumType w:fmt="decimal"/>
          <w:cols w:space="720" w:num="1"/>
          <w:docGrid w:type="lines" w:linePitch="381" w:charSpace="0"/>
        </w:sectPr>
      </w:pPr>
      <w:r>
        <w:rPr>
          <w:rFonts w:hint="eastAsia" w:ascii="仿宋" w:hAnsi="仿宋" w:eastAsia="仿宋" w:cs="仿宋"/>
          <w:highlight w:val="none"/>
        </w:rPr>
        <w:drawing>
          <wp:inline distT="0" distB="0" distL="114300" distR="114300">
            <wp:extent cx="8406130" cy="3598545"/>
            <wp:effectExtent l="0" t="0" r="13970" b="1905"/>
            <wp:docPr id="27"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3"/>
                    <pic:cNvPicPr>
                      <a:picLocks noChangeAspect="1"/>
                    </pic:cNvPicPr>
                  </pic:nvPicPr>
                  <pic:blipFill>
                    <a:blip r:embed="rId8"/>
                    <a:stretch>
                      <a:fillRect/>
                    </a:stretch>
                  </pic:blipFill>
                  <pic:spPr>
                    <a:xfrm>
                      <a:off x="0" y="0"/>
                      <a:ext cx="8406130" cy="3598545"/>
                    </a:xfrm>
                    <a:prstGeom prst="rect">
                      <a:avLst/>
                    </a:prstGeom>
                    <a:noFill/>
                    <a:ln>
                      <a:noFill/>
                    </a:ln>
                  </pic:spPr>
                </pic:pic>
              </a:graphicData>
            </a:graphic>
          </wp:inline>
        </w:drawing>
      </w:r>
    </w:p>
    <w:p w14:paraId="7E543B84">
      <w:pPr>
        <w:pStyle w:val="22"/>
        <w:bidi w:val="0"/>
        <w:ind w:left="0" w:leftChars="0" w:firstLine="0" w:firstLineChars="0"/>
        <w:jc w:val="center"/>
        <w:outlineLvl w:val="9"/>
        <w:rPr>
          <w:rFonts w:hint="eastAsia" w:ascii="仿宋" w:hAnsi="仿宋" w:eastAsia="仿宋" w:cs="仿宋"/>
          <w:b/>
          <w:bCs/>
          <w:lang w:val="en-US"/>
        </w:rPr>
        <w:sectPr>
          <w:pgSz w:w="16838" w:h="11906" w:orient="landscape"/>
          <w:pgMar w:top="720" w:right="720" w:bottom="720" w:left="720" w:header="851" w:footer="992" w:gutter="0"/>
          <w:pgNumType w:fmt="decimal"/>
          <w:cols w:space="720" w:num="1"/>
          <w:docGrid w:type="lines" w:linePitch="381" w:charSpace="0"/>
        </w:sectPr>
      </w:pPr>
      <w:r>
        <w:rPr>
          <w:rFonts w:hint="eastAsia" w:ascii="仿宋" w:hAnsi="仿宋" w:eastAsia="仿宋" w:cs="仿宋"/>
          <w:highlight w:val="none"/>
        </w:rPr>
        <w:drawing>
          <wp:inline distT="0" distB="0" distL="114300" distR="114300">
            <wp:extent cx="8404860" cy="4116705"/>
            <wp:effectExtent l="0" t="0" r="15240" b="17145"/>
            <wp:docPr id="28"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4"/>
                    <pic:cNvPicPr>
                      <a:picLocks noChangeAspect="1"/>
                    </pic:cNvPicPr>
                  </pic:nvPicPr>
                  <pic:blipFill>
                    <a:blip r:embed="rId9"/>
                    <a:stretch>
                      <a:fillRect/>
                    </a:stretch>
                  </pic:blipFill>
                  <pic:spPr>
                    <a:xfrm>
                      <a:off x="0" y="0"/>
                      <a:ext cx="8404860" cy="4116705"/>
                    </a:xfrm>
                    <a:prstGeom prst="rect">
                      <a:avLst/>
                    </a:prstGeom>
                    <a:noFill/>
                    <a:ln>
                      <a:noFill/>
                    </a:ln>
                  </pic:spPr>
                </pic:pic>
              </a:graphicData>
            </a:graphic>
          </wp:inline>
        </w:drawing>
      </w:r>
    </w:p>
    <w:p w14:paraId="4B090879">
      <w:pPr>
        <w:pStyle w:val="22"/>
        <w:bidi w:val="0"/>
        <w:ind w:left="0" w:leftChars="0" w:firstLine="0" w:firstLineChars="0"/>
        <w:jc w:val="center"/>
        <w:outlineLvl w:val="9"/>
        <w:rPr>
          <w:rFonts w:hint="eastAsia" w:ascii="仿宋" w:hAnsi="仿宋" w:eastAsia="仿宋" w:cs="仿宋"/>
          <w:b/>
          <w:bCs/>
          <w:lang w:val="en-US"/>
        </w:rPr>
        <w:sectPr>
          <w:pgSz w:w="16838" w:h="11906" w:orient="landscape"/>
          <w:pgMar w:top="720" w:right="720" w:bottom="720" w:left="720" w:header="851" w:footer="992" w:gutter="0"/>
          <w:pgNumType w:fmt="decimal"/>
          <w:cols w:space="720" w:num="1"/>
          <w:docGrid w:type="lines" w:linePitch="381" w:charSpace="0"/>
        </w:sectPr>
      </w:pPr>
      <w:r>
        <w:rPr>
          <w:rFonts w:hint="eastAsia" w:ascii="仿宋" w:hAnsi="仿宋" w:eastAsia="仿宋" w:cs="仿宋"/>
          <w:highlight w:val="none"/>
        </w:rPr>
        <w:drawing>
          <wp:inline distT="0" distB="0" distL="114300" distR="114300">
            <wp:extent cx="8398510" cy="4304030"/>
            <wp:effectExtent l="0" t="0" r="2540" b="1270"/>
            <wp:docPr id="29"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15"/>
                    <pic:cNvPicPr>
                      <a:picLocks noChangeAspect="1"/>
                    </pic:cNvPicPr>
                  </pic:nvPicPr>
                  <pic:blipFill>
                    <a:blip r:embed="rId10"/>
                    <a:stretch>
                      <a:fillRect/>
                    </a:stretch>
                  </pic:blipFill>
                  <pic:spPr>
                    <a:xfrm>
                      <a:off x="0" y="0"/>
                      <a:ext cx="8398510" cy="4304030"/>
                    </a:xfrm>
                    <a:prstGeom prst="rect">
                      <a:avLst/>
                    </a:prstGeom>
                    <a:noFill/>
                    <a:ln>
                      <a:noFill/>
                    </a:ln>
                  </pic:spPr>
                </pic:pic>
              </a:graphicData>
            </a:graphic>
          </wp:inline>
        </w:drawing>
      </w:r>
    </w:p>
    <w:p w14:paraId="0A9F8D2A">
      <w:pPr>
        <w:spacing w:beforeLines="50" w:afterLines="50" w:line="360" w:lineRule="auto"/>
        <w:jc w:val="both"/>
        <w:outlineLvl w:val="0"/>
        <w:rPr>
          <w:rFonts w:hint="eastAsia" w:ascii="仿宋" w:hAnsi="仿宋" w:eastAsia="仿宋" w:cs="仿宋"/>
          <w:b/>
          <w:bCs/>
          <w:sz w:val="32"/>
          <w:szCs w:val="32"/>
        </w:rPr>
      </w:pPr>
      <w:r>
        <w:rPr>
          <w:rFonts w:hint="eastAsia" w:ascii="仿宋" w:hAnsi="仿宋" w:eastAsia="仿宋" w:cs="仿宋"/>
          <w:b/>
          <w:bCs/>
          <w:sz w:val="32"/>
          <w:szCs w:val="32"/>
        </w:rPr>
        <w:t>五、项目绩效目标</w:t>
      </w:r>
    </w:p>
    <w:p w14:paraId="4FCEFC4C">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1、项目总体目标</w:t>
      </w:r>
    </w:p>
    <w:p w14:paraId="1044EB5F">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目标1：完成公园滑坡治理与植被修复；</w:t>
      </w:r>
    </w:p>
    <w:p w14:paraId="4881799B">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目标2：完成推动城市环境治理与生态修复成效显著提升。</w:t>
      </w:r>
    </w:p>
    <w:p w14:paraId="7CAE5D02">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目标3：按时完成项目竣工验收；</w:t>
      </w:r>
    </w:p>
    <w:p w14:paraId="46EBA909">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目标4：债券存续期内实现年度收支平衡和总体收支平衡；</w:t>
      </w:r>
    </w:p>
    <w:p w14:paraId="413C5709">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目标5：推动区域生态文明建设。</w:t>
      </w:r>
    </w:p>
    <w:p w14:paraId="5330FC27">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2、年度目标</w:t>
      </w:r>
    </w:p>
    <w:p w14:paraId="1AD90444">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目标1：完成滑坡治理，完成植被修复；</w:t>
      </w:r>
    </w:p>
    <w:p w14:paraId="6F871AEB">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目标2：停车位建设完成50%；</w:t>
      </w:r>
    </w:p>
    <w:p w14:paraId="22D7644E">
      <w:pPr>
        <w:pStyle w:val="14"/>
        <w:rPr>
          <w:rFonts w:hint="eastAsia" w:ascii="仿宋" w:hAnsi="仿宋" w:eastAsia="仿宋" w:cs="仿宋"/>
          <w:lang w:val="en-US" w:eastAsia="zh-CN"/>
        </w:rPr>
      </w:pPr>
      <w:r>
        <w:rPr>
          <w:rFonts w:hint="eastAsia" w:ascii="仿宋" w:hAnsi="仿宋" w:eastAsia="仿宋" w:cs="仿宋"/>
          <w:sz w:val="28"/>
          <w:szCs w:val="28"/>
          <w:lang w:val="en-US" w:eastAsia="zh-CN"/>
        </w:rPr>
        <w:t>目标3：完成充电桩修建。</w:t>
      </w:r>
    </w:p>
    <w:p w14:paraId="5CAE997F">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3、质量指标</w:t>
      </w:r>
    </w:p>
    <w:p w14:paraId="5744E0A1">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指标1：项目竣工验收达标率——≥95%</w:t>
      </w:r>
    </w:p>
    <w:p w14:paraId="4293D7B5">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指标2：项目设计方案变更率——≤5%</w:t>
      </w:r>
    </w:p>
    <w:p w14:paraId="5C5CEB19">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4、经济效益指标</w:t>
      </w:r>
    </w:p>
    <w:p w14:paraId="06C10522">
      <w:pPr>
        <w:pStyle w:val="5"/>
        <w:outlineLvl w:val="9"/>
        <w:rPr>
          <w:rFonts w:hint="eastAsia" w:ascii="仿宋" w:hAnsi="仿宋" w:eastAsia="仿宋" w:cs="仿宋"/>
          <w:lang w:val="en-US" w:eastAsia="zh-CN"/>
        </w:rPr>
      </w:pPr>
      <w:r>
        <w:rPr>
          <w:rFonts w:hint="eastAsia" w:ascii="仿宋" w:hAnsi="仿宋" w:eastAsia="仿宋" w:cs="仿宋"/>
          <w:sz w:val="28"/>
          <w:szCs w:val="28"/>
          <w:lang w:val="en-US" w:eastAsia="zh-CN"/>
        </w:rPr>
        <w:t>指标1：项目总收入——≥7009.96万元</w:t>
      </w:r>
    </w:p>
    <w:p w14:paraId="56AAE295">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5、社会效益指标</w:t>
      </w:r>
    </w:p>
    <w:p w14:paraId="676E53FD">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指标1：提供就业岗位——≥8人</w:t>
      </w:r>
    </w:p>
    <w:p w14:paraId="43C541E6">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指标2：满足城市更新规划需求——满足规划</w:t>
      </w:r>
    </w:p>
    <w:p w14:paraId="1B6930EA">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6、可持续影响指标</w:t>
      </w:r>
    </w:p>
    <w:p w14:paraId="1E652F1F">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指标1：运营期限——≥29年</w:t>
      </w:r>
    </w:p>
    <w:p w14:paraId="5B8E40BF">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指标2：推动地方城市更新发展——达成预期目标</w:t>
      </w:r>
    </w:p>
    <w:p w14:paraId="7DEE3945">
      <w:pPr>
        <w:spacing w:beforeLines="50" w:afterLines="50" w:line="360" w:lineRule="auto"/>
        <w:jc w:val="both"/>
        <w:outlineLvl w:val="0"/>
        <w:rPr>
          <w:rFonts w:hint="eastAsia" w:ascii="仿宋" w:hAnsi="仿宋" w:eastAsia="仿宋" w:cs="仿宋"/>
          <w:b/>
          <w:bCs/>
          <w:sz w:val="32"/>
          <w:szCs w:val="32"/>
        </w:rPr>
      </w:pPr>
      <w:r>
        <w:rPr>
          <w:rFonts w:hint="eastAsia" w:ascii="仿宋" w:hAnsi="仿宋" w:eastAsia="仿宋" w:cs="仿宋"/>
          <w:b/>
          <w:bCs/>
          <w:sz w:val="32"/>
          <w:szCs w:val="32"/>
        </w:rPr>
        <w:t>六、潜在影响项目的风险评估</w:t>
      </w:r>
    </w:p>
    <w:p w14:paraId="7269F1A2">
      <w:pPr>
        <w:spacing w:beforeLines="50" w:afterLines="50" w:line="360" w:lineRule="auto"/>
        <w:ind w:firstLine="560" w:firstLineChars="200"/>
        <w:jc w:val="both"/>
        <w:outlineLvl w:val="1"/>
        <w:rPr>
          <w:rFonts w:hint="eastAsia" w:ascii="仿宋" w:hAnsi="仿宋" w:eastAsia="仿宋" w:cs="仿宋"/>
          <w:sz w:val="28"/>
          <w:szCs w:val="28"/>
          <w:lang w:val="en-US" w:eastAsia="zh-CN"/>
        </w:rPr>
      </w:pPr>
      <w:bookmarkStart w:id="83" w:name="_Toc522211123"/>
      <w:bookmarkStart w:id="84" w:name="_Toc15343"/>
      <w:r>
        <w:rPr>
          <w:rFonts w:hint="eastAsia" w:ascii="仿宋" w:hAnsi="仿宋" w:eastAsia="仿宋" w:cs="仿宋"/>
          <w:sz w:val="28"/>
          <w:szCs w:val="28"/>
          <w:lang w:val="en-US" w:eastAsia="zh-CN"/>
        </w:rPr>
        <w:t>1.经营风险</w:t>
      </w:r>
      <w:bookmarkEnd w:id="83"/>
      <w:bookmarkEnd w:id="84"/>
    </w:p>
    <w:p w14:paraId="471F6806">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风险识别：经营风险是指生产经营的不确定性带来的风险。若项目投入运营后的收入未能达到预测值，将影响项目整体收益，对债券还本付息产生影响。</w:t>
      </w:r>
    </w:p>
    <w:p w14:paraId="1D5975F6">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风险控制措施：要求项目管理单位密切关注价格的收取情况，根据实际调整运营成本及业务体系，保证还本付息资金。</w:t>
      </w:r>
      <w:bookmarkStart w:id="85" w:name="_Toc522211124"/>
      <w:bookmarkStart w:id="86" w:name="_Toc4440"/>
    </w:p>
    <w:p w14:paraId="07EC853A">
      <w:pPr>
        <w:spacing w:beforeLines="50" w:afterLines="50" w:line="360" w:lineRule="auto"/>
        <w:ind w:firstLine="560" w:firstLineChars="200"/>
        <w:jc w:val="both"/>
        <w:outlineLvl w:val="1"/>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2.市场风险</w:t>
      </w:r>
      <w:bookmarkEnd w:id="85"/>
      <w:bookmarkEnd w:id="86"/>
    </w:p>
    <w:p w14:paraId="6947202F">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识别：在专项债券存续期内，国际、国内宏观经济环境的变化，国家经济政策变动等因素会引起债务资本市场利率的波动，市场利率波动将会对本项目的财务成本产生一定影响，进而影响项目投资收益的平衡。</w:t>
      </w:r>
    </w:p>
    <w:p w14:paraId="693C7DF4">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风险控制措施：要求项目单位合理安排债券发行金额和债券期限，做好债券的期限配比、还款计划和资金准备。</w:t>
      </w:r>
    </w:p>
    <w:p w14:paraId="69EB78C7">
      <w:pPr>
        <w:spacing w:beforeLines="50" w:afterLines="50" w:line="360" w:lineRule="auto"/>
        <w:ind w:firstLine="560" w:firstLineChars="200"/>
        <w:jc w:val="both"/>
        <w:outlineLvl w:val="1"/>
        <w:rPr>
          <w:rFonts w:hint="eastAsia" w:ascii="仿宋" w:hAnsi="仿宋" w:eastAsia="仿宋" w:cs="仿宋"/>
          <w:sz w:val="28"/>
          <w:szCs w:val="28"/>
          <w:lang w:val="en-US" w:eastAsia="zh-CN"/>
        </w:rPr>
      </w:pPr>
      <w:bookmarkStart w:id="87" w:name="_Toc522211125"/>
      <w:bookmarkStart w:id="88" w:name="_Toc15747"/>
      <w:r>
        <w:rPr>
          <w:rFonts w:hint="eastAsia" w:ascii="仿宋" w:hAnsi="仿宋" w:eastAsia="仿宋" w:cs="仿宋"/>
          <w:sz w:val="28"/>
          <w:szCs w:val="28"/>
          <w:lang w:val="en-US" w:eastAsia="zh-CN"/>
        </w:rPr>
        <w:t>3.财务风险</w:t>
      </w:r>
      <w:bookmarkEnd w:id="87"/>
      <w:bookmarkEnd w:id="88"/>
    </w:p>
    <w:p w14:paraId="7F8A0BCA">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识别：由于项目建设周期较长，如果在项目建设过程中，受市场因素影响，项目施工所需的原材料价格上涨，将导致项目施工成本增加，财务负担加重，进而影响项目建设进度，以及项目建设期内专项债券的利息兑付，因此面临一定财务风险。</w:t>
      </w:r>
    </w:p>
    <w:p w14:paraId="09F34293">
      <w:pPr>
        <w:spacing w:beforeLines="50" w:afterLines="50" w:line="360" w:lineRule="auto"/>
        <w:ind w:firstLine="560" w:firstLineChars="200"/>
        <w:jc w:val="both"/>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风险控制措施：项目可行性研究报告编制过程中，在测算项目总投资时已考虑相关风险。同时，在项目建设过程中，加强项目施工预算管理、招标及合同管理，尽可能控制建设成本。</w:t>
      </w:r>
    </w:p>
    <w:p w14:paraId="07E9B5F2">
      <w:pPr>
        <w:spacing w:beforeLines="50" w:afterLines="50" w:line="360" w:lineRule="auto"/>
        <w:jc w:val="both"/>
        <w:outlineLvl w:val="0"/>
        <w:rPr>
          <w:rFonts w:hint="eastAsia" w:ascii="仿宋" w:hAnsi="仿宋" w:eastAsia="仿宋" w:cs="仿宋"/>
          <w:b/>
          <w:bCs/>
          <w:sz w:val="32"/>
          <w:szCs w:val="32"/>
        </w:rPr>
      </w:pPr>
      <w:r>
        <w:rPr>
          <w:rFonts w:hint="eastAsia" w:ascii="仿宋" w:hAnsi="仿宋" w:eastAsia="仿宋" w:cs="仿宋"/>
          <w:b/>
          <w:bCs/>
          <w:sz w:val="32"/>
          <w:szCs w:val="32"/>
        </w:rPr>
        <w:t>七、还款保障情况</w:t>
      </w:r>
    </w:p>
    <w:p w14:paraId="55CF9B30">
      <w:pPr>
        <w:adjustRightInd/>
        <w:snapToGrid/>
        <w:spacing w:line="560" w:lineRule="exact"/>
        <w:ind w:firstLine="640"/>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国务院办公厅关于印发地方政府性债务风险应急处置预案的通知》（国办函〔2016〕88号）、《财政部关于印发&lt;地方政府专项债务预算管理办法&gt;的通知》（财预〔2016〕155号）规定，及时按照转贷协议约定逐级向省财政缴纳本级应当承担的专项债还本付息资金，由省财政按照合同约定及时偿还专项债券到期本息。如专项债偿债出现困难，将通过调减投资计划、处置可变现资产、调整预算支出结构等方式筹集资金偿还债务。未按时足额向省财政缴纳专项债券还本付息资金的，省财政采取适当方式扣回。</w:t>
      </w:r>
    </w:p>
    <w:p w14:paraId="5DD44728">
      <w:pPr>
        <w:spacing w:beforeLines="50" w:afterLines="50" w:line="360" w:lineRule="auto"/>
        <w:jc w:val="both"/>
        <w:outlineLvl w:val="0"/>
        <w:rPr>
          <w:rFonts w:hint="eastAsia" w:ascii="仿宋" w:hAnsi="仿宋" w:eastAsia="仿宋" w:cs="仿宋"/>
          <w:b/>
          <w:bCs/>
          <w:sz w:val="32"/>
          <w:szCs w:val="32"/>
        </w:rPr>
      </w:pPr>
      <w:r>
        <w:rPr>
          <w:rFonts w:hint="eastAsia" w:ascii="仿宋" w:hAnsi="仿宋" w:eastAsia="仿宋" w:cs="仿宋"/>
          <w:b/>
          <w:bCs/>
          <w:sz w:val="32"/>
          <w:szCs w:val="32"/>
        </w:rPr>
        <w:t>八、主管部门</w:t>
      </w:r>
      <w:r>
        <w:rPr>
          <w:rFonts w:hint="eastAsia" w:ascii="仿宋" w:hAnsi="仿宋" w:eastAsia="仿宋" w:cs="仿宋"/>
          <w:b/>
          <w:bCs/>
          <w:sz w:val="32"/>
          <w:szCs w:val="32"/>
          <w:lang w:val="en-US" w:eastAsia="zh-CN"/>
        </w:rPr>
        <w:t>和项目单位职责</w:t>
      </w:r>
    </w:p>
    <w:p w14:paraId="398757E1">
      <w:pPr>
        <w:adjustRightInd/>
        <w:snapToGrid/>
        <w:spacing w:line="560" w:lineRule="exact"/>
        <w:ind w:firstLine="640"/>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1.项目主管部门：武胜县住房和城乡建设局</w:t>
      </w:r>
    </w:p>
    <w:p w14:paraId="34801D4A">
      <w:pPr>
        <w:adjustRightInd/>
        <w:snapToGrid/>
        <w:spacing w:line="560" w:lineRule="exact"/>
        <w:ind w:firstLine="640"/>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主要职责包括：严格按照基本建设程序建设项目，监督施工方严格按照施工规范施工，确保项目施工安全、项目建设质量、项目工期，切实加强项目建设、运营管理，确保项目收益覆盖债券本息。</w:t>
      </w:r>
    </w:p>
    <w:p w14:paraId="4118B92D">
      <w:pPr>
        <w:adjustRightInd/>
        <w:snapToGrid/>
        <w:spacing w:line="560" w:lineRule="exact"/>
        <w:ind w:firstLine="640"/>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2.项目业主单位：武胜县住房和城乡建设局</w:t>
      </w:r>
    </w:p>
    <w:p w14:paraId="2CFF4B96">
      <w:pPr>
        <w:adjustRightInd/>
        <w:snapToGrid/>
        <w:spacing w:line="560" w:lineRule="exact"/>
        <w:ind w:firstLine="640"/>
        <w:outlineLvl w:val="9"/>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主要职责包括：（1）根据项目实施计划开展相关工作;（2）保证项目资金的使用与项目实施进度相匹配;（3）定期向行业主管部门、实施机构及项目资金主管部门汇报项目实施进度及项目资金使用情况。</w:t>
      </w:r>
    </w:p>
    <w:p w14:paraId="484BA31A">
      <w:pPr>
        <w:spacing w:beforeLines="50" w:afterLines="50" w:line="360" w:lineRule="auto"/>
        <w:jc w:val="both"/>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rPr>
        <w:t>九</w:t>
      </w:r>
      <w:r>
        <w:rPr>
          <w:rFonts w:hint="eastAsia" w:ascii="仿宋" w:hAnsi="仿宋" w:eastAsia="仿宋" w:cs="仿宋"/>
          <w:b/>
          <w:bCs/>
          <w:sz w:val="32"/>
          <w:szCs w:val="32"/>
          <w:lang w:eastAsia="zh-CN"/>
        </w:rPr>
        <w:t>、</w:t>
      </w:r>
      <w:r>
        <w:rPr>
          <w:rFonts w:hint="eastAsia" w:ascii="仿宋" w:hAnsi="仿宋" w:eastAsia="仿宋" w:cs="仿宋"/>
          <w:b/>
          <w:bCs/>
          <w:sz w:val="32"/>
          <w:szCs w:val="32"/>
        </w:rPr>
        <w:t>补充说明</w:t>
      </w:r>
    </w:p>
    <w:p w14:paraId="20D3BD63">
      <w:pPr>
        <w:pStyle w:val="5"/>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outlineLvl w:val="9"/>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lang w:val="en-US" w:eastAsia="zh-CN" w:bidi="ar-SA"/>
        </w:rPr>
        <w:t>根据发行计划及额度安排,此项目2025年拟申请发行1100万元，本次拟</w:t>
      </w:r>
      <w:bookmarkStart w:id="89" w:name="_GoBack"/>
      <w:r>
        <w:rPr>
          <w:rFonts w:hint="eastAsia" w:ascii="仿宋" w:hAnsi="仿宋" w:eastAsia="仿宋" w:cs="仿宋"/>
          <w:color w:val="auto"/>
          <w:kern w:val="2"/>
          <w:sz w:val="28"/>
          <w:szCs w:val="28"/>
          <w:highlight w:val="none"/>
          <w:lang w:val="en-US" w:eastAsia="zh-CN" w:bidi="ar-SA"/>
        </w:rPr>
        <w:t>发行800万元，期限30年。</w:t>
      </w:r>
    </w:p>
    <w:bookmarkEnd w:id="89"/>
    <w:p w14:paraId="459958B8">
      <w:pPr>
        <w:pStyle w:val="5"/>
        <w:keepNext w:val="0"/>
        <w:keepLines w:val="0"/>
        <w:pageBreakBefore w:val="0"/>
        <w:widowControl/>
        <w:kinsoku/>
        <w:wordWrap/>
        <w:overflowPunct/>
        <w:topLinePunct w:val="0"/>
        <w:autoSpaceDE/>
        <w:autoSpaceDN/>
        <w:bidi w:val="0"/>
        <w:adjustRightInd/>
        <w:snapToGrid/>
        <w:spacing w:before="0" w:after="0" w:line="360" w:lineRule="auto"/>
        <w:ind w:firstLine="560" w:firstLineChars="200"/>
        <w:textAlignment w:val="auto"/>
        <w:outlineLvl w:val="9"/>
        <w:rPr>
          <w:rFonts w:hint="eastAsia" w:ascii="仿宋" w:hAnsi="仿宋" w:eastAsia="仿宋" w:cs="仿宋"/>
          <w:color w:val="auto"/>
          <w:kern w:val="2"/>
          <w:sz w:val="28"/>
          <w:szCs w:val="28"/>
          <w:lang w:val="en-US" w:eastAsia="zh-CN" w:bidi="ar-SA"/>
        </w:rPr>
      </w:pPr>
    </w:p>
    <w:sectPr>
      <w:pgSz w:w="11906" w:h="16838"/>
      <w:pgMar w:top="1644" w:right="2098"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CC"/>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Univers 45 Light">
    <w:altName w:val="Courier New"/>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C5B910">
    <w:pPr>
      <w:pStyle w:val="11"/>
      <w:ind w:firstLine="360"/>
      <w:jc w:val="cente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907587">
    <w:pPr>
      <w:pStyle w:val="11"/>
      <w:ind w:firstLine="360"/>
      <w:jc w:val="center"/>
      <w:rPr>
        <w:sz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242A57">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9242A57">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DAE48F">
    <w:pPr>
      <w:pStyle w:val="12"/>
      <w:pBdr>
        <w:bottom w:val="none" w:color="auto" w:sz="0" w:space="0"/>
      </w:pBdr>
      <w:tabs>
        <w:tab w:val="center" w:pos="4150"/>
        <w:tab w:val="right" w:pos="8300"/>
        <w:tab w:val="clear" w:pos="4153"/>
        <w:tab w:val="clear" w:pos="8306"/>
      </w:tabs>
      <w:spacing w:line="240" w:lineRule="auto"/>
      <w:ind w:firstLine="0" w:firstLineChars="0"/>
    </w:pPr>
  </w:p>
  <w:p w14:paraId="32F0F4E4">
    <w:pPr>
      <w:spacing w:line="240" w:lineRule="auto"/>
      <w:ind w:firstLine="0" w:firstLineChars="0"/>
      <w:rPr>
        <w:rFonts w:hint="eastAsia"/>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6691BA">
    <w:pPr>
      <w:pStyle w:val="12"/>
      <w:pBdr>
        <w:bottom w:val="none" w:color="auto" w:sz="0" w:space="1"/>
      </w:pBdr>
      <w:rPr>
        <w:rFonts w:hint="eastAsia" w:eastAsia="宋体"/>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0MmIzYWRkYTU1NzI2N2RiZTc4NjRhYjk1M2Q4ZTIifQ=="/>
    <w:docVar w:name="KSO_WPS_MARK_KEY" w:val="2d3808d4-080a-46b2-a033-2dfcb43df983"/>
  </w:docVars>
  <w:rsids>
    <w:rsidRoot w:val="3FA016BB"/>
    <w:rsid w:val="016478F4"/>
    <w:rsid w:val="019422A6"/>
    <w:rsid w:val="02151EEF"/>
    <w:rsid w:val="022B6AE7"/>
    <w:rsid w:val="02AC5234"/>
    <w:rsid w:val="02B810F0"/>
    <w:rsid w:val="02DF1D3D"/>
    <w:rsid w:val="037214F1"/>
    <w:rsid w:val="03AA7B5F"/>
    <w:rsid w:val="05692F8B"/>
    <w:rsid w:val="06DD649D"/>
    <w:rsid w:val="07D01B5E"/>
    <w:rsid w:val="089B260D"/>
    <w:rsid w:val="08B46C87"/>
    <w:rsid w:val="08BD33F4"/>
    <w:rsid w:val="093E2451"/>
    <w:rsid w:val="09550CC1"/>
    <w:rsid w:val="0B554854"/>
    <w:rsid w:val="0B795965"/>
    <w:rsid w:val="0C2A3F33"/>
    <w:rsid w:val="0C7C4062"/>
    <w:rsid w:val="0CBE28CD"/>
    <w:rsid w:val="0D03664E"/>
    <w:rsid w:val="0D140625"/>
    <w:rsid w:val="0D6D5B36"/>
    <w:rsid w:val="0F271E22"/>
    <w:rsid w:val="0FC25AA9"/>
    <w:rsid w:val="0FC51C2B"/>
    <w:rsid w:val="125B1239"/>
    <w:rsid w:val="133129AC"/>
    <w:rsid w:val="13385F37"/>
    <w:rsid w:val="134A0B53"/>
    <w:rsid w:val="138A41C1"/>
    <w:rsid w:val="13F4206D"/>
    <w:rsid w:val="14294AD0"/>
    <w:rsid w:val="14985835"/>
    <w:rsid w:val="155D0928"/>
    <w:rsid w:val="15673B02"/>
    <w:rsid w:val="1598015F"/>
    <w:rsid w:val="15B11EE6"/>
    <w:rsid w:val="16BE3AB0"/>
    <w:rsid w:val="16BE59A3"/>
    <w:rsid w:val="1725340C"/>
    <w:rsid w:val="181D0DEF"/>
    <w:rsid w:val="1825554A"/>
    <w:rsid w:val="19524380"/>
    <w:rsid w:val="195B607F"/>
    <w:rsid w:val="198E428F"/>
    <w:rsid w:val="19B96822"/>
    <w:rsid w:val="1A1D0C33"/>
    <w:rsid w:val="1A22449B"/>
    <w:rsid w:val="1A89451A"/>
    <w:rsid w:val="1AAB26E2"/>
    <w:rsid w:val="1C623275"/>
    <w:rsid w:val="1D4E55A7"/>
    <w:rsid w:val="1DCB6589"/>
    <w:rsid w:val="1F7252E7"/>
    <w:rsid w:val="20427645"/>
    <w:rsid w:val="218B501C"/>
    <w:rsid w:val="21997D01"/>
    <w:rsid w:val="21D7200F"/>
    <w:rsid w:val="221819BC"/>
    <w:rsid w:val="2396792F"/>
    <w:rsid w:val="241A4435"/>
    <w:rsid w:val="257E1526"/>
    <w:rsid w:val="265170F2"/>
    <w:rsid w:val="271D6716"/>
    <w:rsid w:val="27BB1A8B"/>
    <w:rsid w:val="28754330"/>
    <w:rsid w:val="28D12B93"/>
    <w:rsid w:val="294A30C6"/>
    <w:rsid w:val="29934A6D"/>
    <w:rsid w:val="2A241B69"/>
    <w:rsid w:val="2A4627F7"/>
    <w:rsid w:val="2B4104F9"/>
    <w:rsid w:val="2B42499D"/>
    <w:rsid w:val="2C45359F"/>
    <w:rsid w:val="2C5B55EB"/>
    <w:rsid w:val="2C772424"/>
    <w:rsid w:val="2C7F577D"/>
    <w:rsid w:val="2D2041E2"/>
    <w:rsid w:val="2D7F180A"/>
    <w:rsid w:val="2D9139BA"/>
    <w:rsid w:val="2FE06533"/>
    <w:rsid w:val="307750E9"/>
    <w:rsid w:val="30C10112"/>
    <w:rsid w:val="30E36564"/>
    <w:rsid w:val="30E402A4"/>
    <w:rsid w:val="31651C7A"/>
    <w:rsid w:val="3195331A"/>
    <w:rsid w:val="31C054B1"/>
    <w:rsid w:val="32D63C1D"/>
    <w:rsid w:val="333068EB"/>
    <w:rsid w:val="338342F2"/>
    <w:rsid w:val="33EF414B"/>
    <w:rsid w:val="34120005"/>
    <w:rsid w:val="341208AC"/>
    <w:rsid w:val="345E211C"/>
    <w:rsid w:val="348A1163"/>
    <w:rsid w:val="375548D2"/>
    <w:rsid w:val="385173CD"/>
    <w:rsid w:val="39550E85"/>
    <w:rsid w:val="39AB14DF"/>
    <w:rsid w:val="3A606BEE"/>
    <w:rsid w:val="3B3F4A55"/>
    <w:rsid w:val="3D6764E5"/>
    <w:rsid w:val="3DC17E38"/>
    <w:rsid w:val="3EBF1A09"/>
    <w:rsid w:val="3F7171A7"/>
    <w:rsid w:val="3FA016BB"/>
    <w:rsid w:val="3FBF3121"/>
    <w:rsid w:val="3FE947AA"/>
    <w:rsid w:val="400F0808"/>
    <w:rsid w:val="404E573A"/>
    <w:rsid w:val="409749EB"/>
    <w:rsid w:val="40E13EB9"/>
    <w:rsid w:val="41CE6B33"/>
    <w:rsid w:val="428065A3"/>
    <w:rsid w:val="42E85458"/>
    <w:rsid w:val="43525542"/>
    <w:rsid w:val="448F7DDB"/>
    <w:rsid w:val="44F25523"/>
    <w:rsid w:val="45F33215"/>
    <w:rsid w:val="46585B96"/>
    <w:rsid w:val="46603AD2"/>
    <w:rsid w:val="46FF7BD5"/>
    <w:rsid w:val="487E46E3"/>
    <w:rsid w:val="491F5EC6"/>
    <w:rsid w:val="49B20AE8"/>
    <w:rsid w:val="4A225C6E"/>
    <w:rsid w:val="4AFE23CE"/>
    <w:rsid w:val="4B094738"/>
    <w:rsid w:val="4BA91FD8"/>
    <w:rsid w:val="4C383D20"/>
    <w:rsid w:val="4C3B065C"/>
    <w:rsid w:val="4D933BAF"/>
    <w:rsid w:val="4D9F7B9D"/>
    <w:rsid w:val="4DE90850"/>
    <w:rsid w:val="4E0538DC"/>
    <w:rsid w:val="4EB86BA1"/>
    <w:rsid w:val="4FC11A85"/>
    <w:rsid w:val="4FE54DD3"/>
    <w:rsid w:val="5018188B"/>
    <w:rsid w:val="5049483A"/>
    <w:rsid w:val="512322CB"/>
    <w:rsid w:val="515E42D3"/>
    <w:rsid w:val="52900446"/>
    <w:rsid w:val="539C566F"/>
    <w:rsid w:val="54C24411"/>
    <w:rsid w:val="569014CB"/>
    <w:rsid w:val="56A812A9"/>
    <w:rsid w:val="56AC797B"/>
    <w:rsid w:val="5794408F"/>
    <w:rsid w:val="580170AE"/>
    <w:rsid w:val="58D04AE7"/>
    <w:rsid w:val="58FE308D"/>
    <w:rsid w:val="59070080"/>
    <w:rsid w:val="59916D7C"/>
    <w:rsid w:val="5B5473DC"/>
    <w:rsid w:val="5C425CFC"/>
    <w:rsid w:val="5C606182"/>
    <w:rsid w:val="5CFB2AF2"/>
    <w:rsid w:val="5D221689"/>
    <w:rsid w:val="5DB25F7C"/>
    <w:rsid w:val="5DEF17A5"/>
    <w:rsid w:val="5F3D27AA"/>
    <w:rsid w:val="605B5FAF"/>
    <w:rsid w:val="61273D04"/>
    <w:rsid w:val="612B4E50"/>
    <w:rsid w:val="621951BC"/>
    <w:rsid w:val="62BD432E"/>
    <w:rsid w:val="635B2E37"/>
    <w:rsid w:val="63D63372"/>
    <w:rsid w:val="641937E6"/>
    <w:rsid w:val="651C2EE6"/>
    <w:rsid w:val="655B7E2E"/>
    <w:rsid w:val="65F64108"/>
    <w:rsid w:val="667A754C"/>
    <w:rsid w:val="679A19BD"/>
    <w:rsid w:val="67FB3202"/>
    <w:rsid w:val="681C1AF7"/>
    <w:rsid w:val="68496314"/>
    <w:rsid w:val="69083E29"/>
    <w:rsid w:val="695A26B0"/>
    <w:rsid w:val="698750D7"/>
    <w:rsid w:val="6A0A597F"/>
    <w:rsid w:val="6A31686E"/>
    <w:rsid w:val="6A9516EC"/>
    <w:rsid w:val="6AAB0F10"/>
    <w:rsid w:val="6ACA28B9"/>
    <w:rsid w:val="6AEB7832"/>
    <w:rsid w:val="6B2E643B"/>
    <w:rsid w:val="6C2C198C"/>
    <w:rsid w:val="6CB247D7"/>
    <w:rsid w:val="6D4F0278"/>
    <w:rsid w:val="6ED31611"/>
    <w:rsid w:val="6F20257D"/>
    <w:rsid w:val="7104581E"/>
    <w:rsid w:val="716442CB"/>
    <w:rsid w:val="718860E6"/>
    <w:rsid w:val="71B7463E"/>
    <w:rsid w:val="723637B5"/>
    <w:rsid w:val="72A65155"/>
    <w:rsid w:val="739A5FC5"/>
    <w:rsid w:val="73D019E7"/>
    <w:rsid w:val="742B3769"/>
    <w:rsid w:val="75D45BA0"/>
    <w:rsid w:val="77090774"/>
    <w:rsid w:val="77AB254F"/>
    <w:rsid w:val="77C73F63"/>
    <w:rsid w:val="77E87113"/>
    <w:rsid w:val="784A0269"/>
    <w:rsid w:val="78BE2756"/>
    <w:rsid w:val="78C733B9"/>
    <w:rsid w:val="7A560E98"/>
    <w:rsid w:val="7A747570"/>
    <w:rsid w:val="7B000E04"/>
    <w:rsid w:val="7C855A65"/>
    <w:rsid w:val="7D823D52"/>
    <w:rsid w:val="7DE06CCB"/>
    <w:rsid w:val="7DF369FE"/>
    <w:rsid w:val="7F34107C"/>
    <w:rsid w:val="7F623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unhideWhenUsed/>
    <w:qFormat/>
    <w:uiPriority w:val="9"/>
    <w:pPr>
      <w:keepNext/>
      <w:keepLines/>
      <w:spacing w:before="260" w:after="260" w:line="416" w:lineRule="auto"/>
      <w:outlineLvl w:val="2"/>
    </w:pPr>
    <w:rPr>
      <w:b/>
      <w:bCs/>
      <w:sz w:val="32"/>
      <w:szCs w:val="32"/>
    </w:rPr>
  </w:style>
  <w:style w:type="paragraph" w:styleId="3">
    <w:name w:val="heading 4"/>
    <w:basedOn w:val="1"/>
    <w:next w:val="1"/>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autoRedefine/>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4">
    <w:name w:val="Normal Indent"/>
    <w:autoRedefine/>
    <w:qFormat/>
    <w:uiPriority w:val="0"/>
    <w:pPr>
      <w:widowControl w:val="0"/>
      <w:spacing w:before="260" w:after="260" w:line="360" w:lineRule="auto"/>
      <w:ind w:firstLine="540" w:firstLineChars="200"/>
      <w:jc w:val="both"/>
    </w:pPr>
    <w:rPr>
      <w:rFonts w:eastAsia="仿宋" w:asciiTheme="minorAscii" w:hAnsiTheme="minorAscii" w:cstheme="minorBidi"/>
      <w:kern w:val="2"/>
      <w:sz w:val="28"/>
      <w:szCs w:val="20"/>
      <w:lang w:val="en-US" w:eastAsia="zh-CN" w:bidi="ar-SA"/>
    </w:rPr>
  </w:style>
  <w:style w:type="paragraph" w:styleId="5">
    <w:name w:val="Body Text"/>
    <w:basedOn w:val="1"/>
    <w:autoRedefine/>
    <w:qFormat/>
    <w:uiPriority w:val="0"/>
    <w:pPr>
      <w:widowControl/>
      <w:adjustRightInd w:val="0"/>
      <w:snapToGrid w:val="0"/>
      <w:spacing w:before="150" w:after="150" w:line="264" w:lineRule="auto"/>
      <w:ind w:firstLine="567"/>
    </w:pPr>
    <w:rPr>
      <w:rFonts w:ascii="华文楷体" w:hAnsi="华文楷体" w:eastAsia="LF_Kai"/>
      <w:kern w:val="0"/>
      <w:sz w:val="24"/>
      <w:szCs w:val="20"/>
      <w:lang w:val="en-GB"/>
    </w:rPr>
  </w:style>
  <w:style w:type="paragraph" w:styleId="6">
    <w:name w:val="Body Text Indent"/>
    <w:basedOn w:val="1"/>
    <w:next w:val="7"/>
    <w:unhideWhenUsed/>
    <w:qFormat/>
    <w:uiPriority w:val="99"/>
    <w:pPr>
      <w:spacing w:after="120"/>
      <w:ind w:left="420" w:leftChars="200"/>
    </w:pPr>
  </w:style>
  <w:style w:type="paragraph" w:styleId="7">
    <w:name w:val="toc 4"/>
    <w:next w:val="1"/>
    <w:autoRedefine/>
    <w:unhideWhenUsed/>
    <w:qFormat/>
    <w:uiPriority w:val="39"/>
    <w:pPr>
      <w:widowControl w:val="0"/>
      <w:spacing w:before="20" w:beforeLines="20" w:after="20" w:afterLines="20" w:line="360" w:lineRule="auto"/>
      <w:ind w:left="720" w:firstLine="200" w:firstLineChars="200"/>
      <w:jc w:val="left"/>
    </w:pPr>
    <w:rPr>
      <w:rFonts w:ascii="Calibri" w:hAnsi="Calibri" w:eastAsia="宋体" w:cs="Times New Roman"/>
      <w:kern w:val="2"/>
      <w:sz w:val="20"/>
      <w:szCs w:val="20"/>
      <w:lang w:val="en-US" w:eastAsia="zh-CN" w:bidi="ar-SA"/>
    </w:rPr>
  </w:style>
  <w:style w:type="paragraph" w:styleId="8">
    <w:name w:val="Block Text"/>
    <w:basedOn w:val="1"/>
    <w:next w:val="1"/>
    <w:autoRedefine/>
    <w:qFormat/>
    <w:uiPriority w:val="99"/>
    <w:pPr>
      <w:spacing w:line="300" w:lineRule="exact"/>
      <w:ind w:left="-105" w:leftChars="-50" w:right="-105" w:rightChars="-50"/>
      <w:jc w:val="center"/>
    </w:pPr>
    <w:rPr>
      <w:rFonts w:ascii="宋体" w:hAnsi="宋体"/>
      <w:sz w:val="18"/>
      <w:szCs w:val="20"/>
    </w:rPr>
  </w:style>
  <w:style w:type="paragraph" w:styleId="9">
    <w:name w:val="Plain Text"/>
    <w:basedOn w:val="1"/>
    <w:qFormat/>
    <w:uiPriority w:val="0"/>
    <w:pPr>
      <w:spacing w:line="240" w:lineRule="auto"/>
      <w:ind w:firstLine="0" w:firstLineChars="0"/>
    </w:pPr>
    <w:rPr>
      <w:rFonts w:ascii="宋体" w:hAnsi="Courier New" w:cs="Courier New"/>
      <w:sz w:val="21"/>
    </w:rPr>
  </w:style>
  <w:style w:type="paragraph" w:styleId="10">
    <w:name w:val="Body Text Indent 2"/>
    <w:basedOn w:val="1"/>
    <w:autoRedefine/>
    <w:qFormat/>
    <w:uiPriority w:val="0"/>
    <w:pPr>
      <w:spacing w:after="120" w:line="480" w:lineRule="auto"/>
      <w:ind w:left="420" w:leftChars="200"/>
    </w:pPr>
    <w:rPr>
      <w:sz w:val="21"/>
      <w:szCs w:val="24"/>
    </w:rPr>
  </w:style>
  <w:style w:type="paragraph" w:styleId="11">
    <w:name w:val="footer"/>
    <w:basedOn w:val="1"/>
    <w:autoRedefine/>
    <w:unhideWhenUsed/>
    <w:qFormat/>
    <w:uiPriority w:val="99"/>
    <w:pPr>
      <w:tabs>
        <w:tab w:val="center" w:pos="4153"/>
        <w:tab w:val="right" w:pos="8306"/>
      </w:tabs>
      <w:snapToGrid w:val="0"/>
    </w:pPr>
    <w:rPr>
      <w:sz w:val="18"/>
      <w:szCs w:val="18"/>
    </w:rPr>
  </w:style>
  <w:style w:type="paragraph" w:styleId="12">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qFormat/>
    <w:uiPriority w:val="39"/>
    <w:pPr>
      <w:adjustRightInd w:val="0"/>
      <w:snapToGrid w:val="0"/>
      <w:spacing w:before="120" w:after="120"/>
      <w:jc w:val="left"/>
    </w:pPr>
    <w:rPr>
      <w:rFonts w:ascii="Calibri" w:hAnsi="Calibri" w:eastAsia="仿宋_GB2312" w:cs="Calibri"/>
      <w:b/>
      <w:bCs/>
      <w:caps/>
      <w:sz w:val="28"/>
      <w:szCs w:val="28"/>
    </w:rPr>
  </w:style>
  <w:style w:type="paragraph" w:styleId="14">
    <w:name w:val="Body Text 2"/>
    <w:basedOn w:val="1"/>
    <w:qFormat/>
    <w:uiPriority w:val="99"/>
    <w:pPr>
      <w:spacing w:after="120" w:line="480" w:lineRule="auto"/>
      <w:ind w:firstLine="560"/>
    </w:pPr>
    <w:rPr>
      <w:rFonts w:ascii="Calibri" w:hAnsi="Calibri"/>
    </w:rPr>
  </w:style>
  <w:style w:type="paragraph" w:styleId="15">
    <w:name w:val="Body Text First Indent"/>
    <w:basedOn w:val="5"/>
    <w:next w:val="5"/>
    <w:autoRedefine/>
    <w:qFormat/>
    <w:uiPriority w:val="0"/>
    <w:pPr>
      <w:autoSpaceDE/>
      <w:autoSpaceDN/>
      <w:adjustRightInd/>
      <w:spacing w:after="120"/>
      <w:ind w:firstLine="420" w:firstLineChars="100"/>
      <w:jc w:val="both"/>
    </w:pPr>
    <w:rPr>
      <w:kern w:val="2"/>
      <w:sz w:val="21"/>
    </w:rPr>
  </w:style>
  <w:style w:type="paragraph" w:styleId="16">
    <w:name w:val="Body Text First Indent 2"/>
    <w:basedOn w:val="6"/>
    <w:next w:val="4"/>
    <w:qFormat/>
    <w:uiPriority w:val="0"/>
    <w:pPr>
      <w:ind w:firstLine="420" w:firstLineChars="200"/>
    </w:pPr>
  </w:style>
  <w:style w:type="character" w:styleId="19">
    <w:name w:val="Emphasis"/>
    <w:basedOn w:val="18"/>
    <w:autoRedefine/>
    <w:qFormat/>
    <w:uiPriority w:val="20"/>
    <w:rPr>
      <w:i/>
    </w:rPr>
  </w:style>
  <w:style w:type="paragraph" w:customStyle="1" w:styleId="20">
    <w:name w:val="正文文字 6"/>
    <w:next w:val="1"/>
    <w:autoRedefine/>
    <w:qFormat/>
    <w:uiPriority w:val="0"/>
    <w:pPr>
      <w:widowControl w:val="0"/>
      <w:ind w:left="240"/>
      <w:jc w:val="both"/>
    </w:pPr>
    <w:rPr>
      <w:rFonts w:ascii="宋体" w:hAnsi="Times New Roman" w:eastAsia="宋体" w:cs="Times New Roman"/>
      <w:b/>
      <w:bCs/>
      <w:kern w:val="2"/>
      <w:sz w:val="32"/>
      <w:szCs w:val="32"/>
      <w:lang w:val="en-US" w:eastAsia="zh-CN" w:bidi="ar-SA"/>
    </w:rPr>
  </w:style>
  <w:style w:type="paragraph" w:customStyle="1" w:styleId="21">
    <w:name w:val="表格2"/>
    <w:basedOn w:val="8"/>
    <w:autoRedefine/>
    <w:qFormat/>
    <w:uiPriority w:val="0"/>
    <w:pPr>
      <w:spacing w:line="240" w:lineRule="exact"/>
      <w:ind w:left="0" w:leftChars="0" w:right="0" w:rightChars="0" w:firstLine="0" w:firstLineChars="0"/>
    </w:pPr>
    <w:rPr>
      <w:rFonts w:ascii="Times New Roman" w:hAnsi="Times New Roman" w:cs="Times New Roman"/>
      <w:sz w:val="22"/>
      <w:szCs w:val="20"/>
    </w:rPr>
  </w:style>
  <w:style w:type="paragraph" w:customStyle="1" w:styleId="22">
    <w:name w:val="样式8"/>
    <w:basedOn w:val="1"/>
    <w:link w:val="27"/>
    <w:autoRedefine/>
    <w:qFormat/>
    <w:uiPriority w:val="0"/>
    <w:pPr>
      <w:spacing w:line="360" w:lineRule="auto"/>
      <w:ind w:firstLine="720" w:firstLineChars="200"/>
      <w:jc w:val="both"/>
    </w:pPr>
    <w:rPr>
      <w:rFonts w:ascii="Times New Roman" w:hAnsi="Times New Roman" w:eastAsia="仿宋"/>
      <w:sz w:val="28"/>
      <w:szCs w:val="24"/>
    </w:rPr>
  </w:style>
  <w:style w:type="paragraph" w:customStyle="1" w:styleId="23">
    <w:name w:val="表格222"/>
    <w:basedOn w:val="13"/>
    <w:autoRedefine/>
    <w:qFormat/>
    <w:uiPriority w:val="0"/>
    <w:pPr>
      <w:spacing w:line="240" w:lineRule="exact"/>
      <w:jc w:val="center"/>
    </w:pPr>
    <w:rPr>
      <w:rFonts w:ascii="Times New Roman" w:hAnsi="Times New Roman" w:eastAsia="仿宋" w:cs="Calibri"/>
      <w:sz w:val="22"/>
    </w:rPr>
  </w:style>
  <w:style w:type="paragraph" w:customStyle="1" w:styleId="24">
    <w:name w:val="Default"/>
    <w:autoRedefine/>
    <w:qFormat/>
    <w:uiPriority w:val="0"/>
    <w:pPr>
      <w:widowControl w:val="0"/>
      <w:autoSpaceDE w:val="0"/>
      <w:autoSpaceDN w:val="0"/>
      <w:adjustRightInd w:val="0"/>
    </w:pPr>
    <w:rPr>
      <w:rFonts w:ascii="Univers 45 Light" w:hAnsi="Times New Roman" w:eastAsia="Univers 45 Light" w:cs="Univers 45 Light"/>
      <w:color w:val="000000"/>
      <w:sz w:val="24"/>
      <w:szCs w:val="24"/>
      <w:lang w:val="en-US" w:eastAsia="zh-CN" w:bidi="ar-SA"/>
    </w:rPr>
  </w:style>
  <w:style w:type="character" w:customStyle="1" w:styleId="25">
    <w:name w:val="font21"/>
    <w:basedOn w:val="18"/>
    <w:autoRedefine/>
    <w:qFormat/>
    <w:uiPriority w:val="0"/>
    <w:rPr>
      <w:rFonts w:hint="default" w:ascii="Times New Roman" w:hAnsi="Times New Roman" w:cs="Times New Roman"/>
      <w:color w:val="000000"/>
      <w:sz w:val="28"/>
      <w:szCs w:val="28"/>
      <w:u w:val="none"/>
    </w:rPr>
  </w:style>
  <w:style w:type="character" w:customStyle="1" w:styleId="26">
    <w:name w:val="font31"/>
    <w:basedOn w:val="18"/>
    <w:autoRedefine/>
    <w:qFormat/>
    <w:uiPriority w:val="0"/>
    <w:rPr>
      <w:rFonts w:hint="eastAsia" w:ascii="宋体" w:hAnsi="宋体" w:eastAsia="宋体" w:cs="宋体"/>
      <w:color w:val="000000"/>
      <w:sz w:val="20"/>
      <w:szCs w:val="20"/>
      <w:u w:val="none"/>
    </w:rPr>
  </w:style>
  <w:style w:type="character" w:customStyle="1" w:styleId="27">
    <w:name w:val="样式8 Char1"/>
    <w:link w:val="22"/>
    <w:autoRedefine/>
    <w:qFormat/>
    <w:uiPriority w:val="0"/>
    <w:rPr>
      <w:rFonts w:ascii="Times New Roman" w:hAnsi="Times New Roman" w:eastAsia="仿宋"/>
      <w:sz w:val="2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7128</Words>
  <Characters>7815</Characters>
  <Lines>0</Lines>
  <Paragraphs>0</Paragraphs>
  <TotalTime>0</TotalTime>
  <ScaleCrop>false</ScaleCrop>
  <LinksUpToDate>false</LinksUpToDate>
  <CharactersWithSpaces>7839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2019-12-07T12:57:00Z</dcterms:created>
  <dc:creator>李仕林</dc:creator>
  <cp:lastModifiedBy>由风</cp:lastModifiedBy>
  <dcterms:modified xsi:type="dcterms:W3CDTF">2025-12-16T06:55:45Z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4A9BDAB1BEB7416A822C07943B93A118</vt:lpwstr>
  </property>
  <property fmtid="{D5CDD505-2E9C-101B-9397-08002B2CF9AE}" pid="4" name="KSOTemplateDocerSaveRecord">
    <vt:lpwstr>eyJoZGlkIjoiMmU0MmIzYWRkYTU1NzI2N2RiZTc4NjRhYjk1M2Q4ZTIiLCJ1c2VySWQiOiIxMDY3ODQ5NjQxIn0=</vt:lpwstr>
  </property>
</Properties>
</file>